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2452F2">
      <w:pPr>
        <w:spacing w:line="360" w:lineRule="auto"/>
        <w:rPr>
          <w:rFonts w:hint="eastAsia" w:ascii="宋体" w:hAnsi="宋体" w:eastAsia="宋体" w:cs="宋体"/>
          <w:color w:val="auto"/>
          <w:sz w:val="21"/>
          <w:szCs w:val="21"/>
          <w:highlight w:val="none"/>
        </w:rPr>
      </w:pPr>
      <w:bookmarkStart w:id="0" w:name="_Toc61366692"/>
      <w:bookmarkStart w:id="1" w:name="_Toc27040260"/>
      <w:bookmarkStart w:id="2" w:name="_Toc31591743"/>
      <w:bookmarkStart w:id="3" w:name="_Toc26779266"/>
      <w:bookmarkStart w:id="4" w:name="_Toc39286187"/>
      <w:bookmarkStart w:id="5" w:name="_Toc22136041"/>
      <w:bookmarkStart w:id="6" w:name="_Toc35511315"/>
      <w:bookmarkStart w:id="7" w:name="_Toc36018908"/>
      <w:bookmarkStart w:id="8" w:name="_Toc31605250"/>
      <w:bookmarkStart w:id="9" w:name="_Toc50780114"/>
      <w:bookmarkStart w:id="10" w:name="_Toc22195350"/>
      <w:bookmarkStart w:id="11" w:name="_Toc22194393"/>
      <w:bookmarkStart w:id="12" w:name="_Toc22175661"/>
      <w:bookmarkStart w:id="13" w:name="_Toc31591467"/>
      <w:bookmarkStart w:id="14" w:name="_Toc22194419"/>
      <w:bookmarkStart w:id="15" w:name="_Toc26774568"/>
      <w:bookmarkStart w:id="16" w:name="_Toc22194124"/>
      <w:bookmarkStart w:id="17" w:name="_Toc31592295"/>
      <w:bookmarkStart w:id="18" w:name="_Toc30577638"/>
      <w:bookmarkStart w:id="19" w:name="_Toc31609253"/>
      <w:bookmarkStart w:id="20" w:name="_Toc22135397"/>
      <w:bookmarkStart w:id="21" w:name="_Toc39028508"/>
      <w:bookmarkStart w:id="22" w:name="_Toc31612836"/>
      <w:bookmarkStart w:id="23" w:name="_Toc31604974"/>
      <w:bookmarkStart w:id="24" w:name="_Toc41961644"/>
      <w:bookmarkStart w:id="25" w:name="_Toc35307260"/>
      <w:bookmarkStart w:id="26" w:name="_Toc22195376"/>
      <w:bookmarkStart w:id="27" w:name="_Toc26887264"/>
      <w:bookmarkStart w:id="28" w:name="_Toc61366823"/>
      <w:bookmarkStart w:id="29" w:name="_Toc27038869"/>
      <w:bookmarkStart w:id="30" w:name="_Toc31506874"/>
      <w:bookmarkStart w:id="31" w:name="_Toc22175017"/>
      <w:bookmarkStart w:id="32" w:name="_Toc27184673"/>
      <w:bookmarkStart w:id="33" w:name="_Toc31609059"/>
      <w:bookmarkStart w:id="34" w:name="_Toc27039535"/>
      <w:bookmarkStart w:id="35" w:name="_Toc22135692"/>
      <w:bookmarkStart w:id="36" w:name="_Toc22135746"/>
      <w:bookmarkStart w:id="37" w:name="_Toc31608606"/>
      <w:bookmarkStart w:id="38" w:name="_Toc31507150"/>
      <w:bookmarkStart w:id="39" w:name="_Toc31608330"/>
      <w:bookmarkStart w:id="40" w:name="_Toc22195750"/>
      <w:bookmarkStart w:id="41" w:name="_Toc31608938"/>
      <w:bookmarkStart w:id="42" w:name="_Toc21948084"/>
      <w:bookmarkStart w:id="43" w:name="_Toc22195081"/>
      <w:bookmarkStart w:id="44" w:name="_Toc61366870"/>
      <w:bookmarkStart w:id="45" w:name="_Toc22194558"/>
      <w:bookmarkStart w:id="46" w:name="_Toc27039171"/>
      <w:bookmarkStart w:id="47" w:name="_Toc22175366"/>
      <w:bookmarkStart w:id="48" w:name="_Toc27041906"/>
      <w:bookmarkStart w:id="49" w:name="_Toc57984908"/>
      <w:bookmarkStart w:id="50" w:name="_Toc31612464"/>
      <w:bookmarkStart w:id="51" w:name="_Toc21948374"/>
      <w:bookmarkStart w:id="52" w:name="_Toc22194853"/>
      <w:bookmarkStart w:id="53" w:name="_Toc22175312"/>
      <w:bookmarkStart w:id="54" w:name="_Toc49568081"/>
      <w:bookmarkStart w:id="55" w:name="_Toc31592019"/>
      <w:bookmarkStart w:id="56" w:name="_Toc27039898"/>
      <w:bookmarkStart w:id="57" w:name="_Toc22195455"/>
      <w:bookmarkStart w:id="58" w:name="_Toc22195724"/>
      <w:bookmarkStart w:id="59" w:name="_Toc30577903"/>
      <w:bookmarkStart w:id="60" w:name="_Toc22194827"/>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14:paraId="298EF145">
      <w:pPr>
        <w:ind w:firstLine="5670" w:firstLineChars="2700"/>
        <w:rPr>
          <w:rFonts w:hint="eastAsia" w:ascii="宋体" w:hAnsi="宋体" w:eastAsia="宋体" w:cs="宋体"/>
          <w:color w:val="auto"/>
          <w:sz w:val="21"/>
          <w:szCs w:val="21"/>
          <w:highlight w:val="none"/>
        </w:rPr>
      </w:pPr>
    </w:p>
    <w:p w14:paraId="6BCAB85C">
      <w:pPr>
        <w:ind w:firstLine="6405" w:firstLineChars="3050"/>
        <w:rPr>
          <w:rFonts w:hint="eastAsia" w:ascii="宋体" w:hAnsi="宋体" w:eastAsia="宋体" w:cs="宋体"/>
          <w:color w:val="auto"/>
          <w:szCs w:val="24"/>
          <w:highlight w:val="none"/>
        </w:rPr>
      </w:pPr>
      <w:r>
        <w:rPr>
          <w:rFonts w:hint="eastAsia" w:ascii="宋体" w:hAnsi="宋体" w:eastAsia="宋体" w:cs="宋体"/>
          <w:color w:val="auto"/>
          <w:sz w:val="21"/>
          <w:szCs w:val="21"/>
          <w:highlight w:val="none"/>
        </w:rPr>
        <w:t>招标编号：</w:t>
      </w:r>
    </w:p>
    <w:p w14:paraId="5B0F8886">
      <w:pPr>
        <w:spacing w:line="360" w:lineRule="auto"/>
        <w:rPr>
          <w:rFonts w:hint="eastAsia" w:ascii="宋体" w:hAnsi="宋体" w:eastAsia="宋体" w:cs="宋体"/>
          <w:color w:val="auto"/>
          <w:sz w:val="21"/>
          <w:szCs w:val="21"/>
          <w:highlight w:val="none"/>
        </w:rPr>
      </w:pPr>
    </w:p>
    <w:p w14:paraId="7DF5541E">
      <w:pPr>
        <w:spacing w:line="360" w:lineRule="auto"/>
        <w:rPr>
          <w:rFonts w:hint="eastAsia" w:ascii="宋体" w:hAnsi="宋体" w:eastAsia="宋体" w:cs="宋体"/>
          <w:color w:val="auto"/>
          <w:sz w:val="21"/>
          <w:szCs w:val="21"/>
          <w:highlight w:val="none"/>
        </w:rPr>
      </w:pPr>
    </w:p>
    <w:p w14:paraId="47A90220">
      <w:pPr>
        <w:spacing w:before="120" w:beforeLines="50" w:line="360" w:lineRule="auto"/>
        <w:jc w:val="center"/>
        <w:rPr>
          <w:rFonts w:hint="eastAsia" w:ascii="宋体" w:hAnsi="宋体" w:eastAsia="宋体" w:cs="宋体"/>
          <w:b/>
          <w:color w:val="auto"/>
          <w:sz w:val="52"/>
          <w:szCs w:val="52"/>
          <w:highlight w:val="none"/>
        </w:rPr>
      </w:pPr>
      <w:r>
        <w:rPr>
          <w:rFonts w:hint="eastAsia" w:hAnsi="宋体" w:cs="宋体"/>
          <w:b/>
          <w:color w:val="auto"/>
          <w:sz w:val="52"/>
          <w:szCs w:val="52"/>
          <w:highlight w:val="none"/>
          <w:lang w:val="en-US" w:eastAsia="zh-CN"/>
        </w:rPr>
        <w:t>亚创</w:t>
      </w:r>
      <w:r>
        <w:rPr>
          <w:rFonts w:hint="eastAsia" w:ascii="宋体" w:hAnsi="宋体" w:eastAsia="宋体" w:cs="宋体"/>
          <w:b/>
          <w:color w:val="auto"/>
          <w:sz w:val="52"/>
          <w:szCs w:val="52"/>
          <w:highlight w:val="none"/>
          <w:lang w:val="en-US" w:eastAsia="zh-CN"/>
        </w:rPr>
        <w:t>研究院实验室</w:t>
      </w:r>
      <w:r>
        <w:rPr>
          <w:rFonts w:hint="eastAsia" w:hAnsi="宋体" w:cs="宋体"/>
          <w:b/>
          <w:color w:val="auto"/>
          <w:sz w:val="52"/>
          <w:szCs w:val="52"/>
          <w:highlight w:val="none"/>
          <w:lang w:val="en-US" w:eastAsia="zh-CN"/>
        </w:rPr>
        <w:t>家具</w:t>
      </w:r>
      <w:r>
        <w:rPr>
          <w:rFonts w:hint="eastAsia" w:ascii="宋体" w:hAnsi="宋体" w:eastAsia="宋体" w:cs="宋体"/>
          <w:b/>
          <w:color w:val="auto"/>
          <w:sz w:val="52"/>
          <w:szCs w:val="52"/>
          <w:highlight w:val="none"/>
        </w:rPr>
        <w:t>采购及安装工程</w:t>
      </w:r>
    </w:p>
    <w:p w14:paraId="39C36FF3">
      <w:pPr>
        <w:spacing w:before="360" w:beforeLines="150" w:line="360" w:lineRule="auto"/>
        <w:jc w:val="center"/>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招</w:t>
      </w:r>
    </w:p>
    <w:p w14:paraId="19AA8D74">
      <w:pPr>
        <w:spacing w:before="360" w:beforeLines="150" w:line="360" w:lineRule="auto"/>
        <w:jc w:val="center"/>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标</w:t>
      </w:r>
    </w:p>
    <w:p w14:paraId="3F015C41">
      <w:pPr>
        <w:spacing w:before="360" w:beforeLines="150" w:line="360" w:lineRule="auto"/>
        <w:jc w:val="center"/>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文</w:t>
      </w:r>
    </w:p>
    <w:p w14:paraId="323CFD89">
      <w:pPr>
        <w:spacing w:before="360" w:beforeLines="150" w:line="360" w:lineRule="auto"/>
        <w:jc w:val="center"/>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件</w:t>
      </w:r>
    </w:p>
    <w:p w14:paraId="68D73507">
      <w:pPr>
        <w:spacing w:line="360" w:lineRule="auto"/>
        <w:rPr>
          <w:rFonts w:hint="eastAsia" w:ascii="宋体" w:hAnsi="宋体" w:eastAsia="宋体" w:cs="宋体"/>
          <w:color w:val="auto"/>
          <w:sz w:val="21"/>
          <w:szCs w:val="21"/>
          <w:highlight w:val="none"/>
        </w:rPr>
      </w:pPr>
    </w:p>
    <w:p w14:paraId="231A3997">
      <w:pPr>
        <w:spacing w:line="360" w:lineRule="auto"/>
        <w:rPr>
          <w:rFonts w:hint="eastAsia" w:ascii="宋体" w:hAnsi="宋体" w:eastAsia="宋体" w:cs="宋体"/>
          <w:color w:val="auto"/>
          <w:sz w:val="21"/>
          <w:szCs w:val="21"/>
          <w:highlight w:val="none"/>
        </w:rPr>
      </w:pPr>
    </w:p>
    <w:p w14:paraId="2084C063">
      <w:pPr>
        <w:spacing w:line="360" w:lineRule="auto"/>
        <w:ind w:firstLine="1124" w:firstLineChars="40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项目名称：</w:t>
      </w:r>
      <w:r>
        <w:rPr>
          <w:rFonts w:hint="eastAsia" w:ascii="宋体" w:hAnsi="宋体" w:eastAsia="宋体" w:cs="宋体"/>
          <w:b/>
          <w:color w:val="auto"/>
          <w:sz w:val="28"/>
          <w:szCs w:val="28"/>
          <w:highlight w:val="none"/>
          <w:lang w:eastAsia="zh-CN"/>
        </w:rPr>
        <w:t>亚</w:t>
      </w:r>
      <w:r>
        <w:rPr>
          <w:rFonts w:hint="eastAsia" w:hAnsi="宋体" w:cs="宋体"/>
          <w:b/>
          <w:color w:val="auto"/>
          <w:sz w:val="28"/>
          <w:szCs w:val="28"/>
          <w:highlight w:val="none"/>
          <w:lang w:val="en-US" w:eastAsia="zh-CN"/>
        </w:rPr>
        <w:t>创研究院</w:t>
      </w:r>
      <w:r>
        <w:rPr>
          <w:rFonts w:hint="eastAsia" w:ascii="宋体" w:hAnsi="宋体" w:eastAsia="宋体" w:cs="宋体"/>
          <w:b/>
          <w:color w:val="auto"/>
          <w:sz w:val="28"/>
          <w:szCs w:val="28"/>
          <w:highlight w:val="none"/>
          <w:lang w:val="en-US" w:eastAsia="zh-CN"/>
        </w:rPr>
        <w:t>实验室</w:t>
      </w:r>
      <w:r>
        <w:rPr>
          <w:rFonts w:hint="eastAsia" w:hAnsi="宋体" w:cs="宋体"/>
          <w:b/>
          <w:color w:val="auto"/>
          <w:sz w:val="28"/>
          <w:szCs w:val="28"/>
          <w:highlight w:val="none"/>
          <w:lang w:val="en-US" w:eastAsia="zh-CN"/>
        </w:rPr>
        <w:t>家具</w:t>
      </w:r>
      <w:r>
        <w:rPr>
          <w:rFonts w:hint="eastAsia" w:ascii="宋体" w:hAnsi="宋体" w:eastAsia="宋体" w:cs="宋体"/>
          <w:b/>
          <w:color w:val="auto"/>
          <w:sz w:val="28"/>
          <w:szCs w:val="28"/>
          <w:highlight w:val="none"/>
          <w:lang w:eastAsia="zh-CN"/>
        </w:rPr>
        <w:t>采购</w:t>
      </w:r>
      <w:r>
        <w:rPr>
          <w:rFonts w:hint="eastAsia" w:hAnsi="宋体" w:cs="宋体"/>
          <w:b/>
          <w:color w:val="auto"/>
          <w:sz w:val="28"/>
          <w:szCs w:val="28"/>
          <w:highlight w:val="none"/>
          <w:lang w:val="en-US" w:eastAsia="zh-CN"/>
        </w:rPr>
        <w:t>及</w:t>
      </w:r>
      <w:r>
        <w:rPr>
          <w:rFonts w:hint="eastAsia" w:ascii="宋体" w:hAnsi="宋体" w:eastAsia="宋体" w:cs="宋体"/>
          <w:b/>
          <w:color w:val="auto"/>
          <w:sz w:val="28"/>
          <w:szCs w:val="28"/>
          <w:highlight w:val="none"/>
          <w:lang w:eastAsia="zh-CN"/>
        </w:rPr>
        <w:t>安装工程</w:t>
      </w:r>
    </w:p>
    <w:p w14:paraId="37B3F573">
      <w:pPr>
        <w:spacing w:line="360" w:lineRule="auto"/>
        <w:ind w:firstLine="1124" w:firstLineChars="400"/>
        <w:jc w:val="left"/>
        <w:rPr>
          <w:rFonts w:hint="eastAsia" w:hAnsi="宋体" w:cs="宋体"/>
          <w:b/>
          <w:color w:val="auto"/>
          <w:sz w:val="28"/>
          <w:szCs w:val="28"/>
          <w:highlight w:val="none"/>
          <w:lang w:val="en-US" w:eastAsia="zh-CN"/>
        </w:rPr>
      </w:pPr>
      <w:r>
        <w:rPr>
          <w:rFonts w:hint="eastAsia" w:ascii="宋体" w:hAnsi="宋体" w:eastAsia="宋体" w:cs="宋体"/>
          <w:b/>
          <w:color w:val="auto"/>
          <w:sz w:val="28"/>
          <w:szCs w:val="28"/>
          <w:highlight w:val="none"/>
        </w:rPr>
        <w:t>项目地址：</w:t>
      </w:r>
      <w:r>
        <w:rPr>
          <w:rFonts w:hint="eastAsia" w:hAnsi="宋体" w:cs="宋体"/>
          <w:b/>
          <w:color w:val="auto"/>
          <w:sz w:val="28"/>
          <w:szCs w:val="28"/>
          <w:highlight w:val="none"/>
          <w:lang w:val="en-US" w:eastAsia="zh-CN"/>
        </w:rPr>
        <w:t>宝安区福海街道桥头社区天福路87号</w:t>
      </w:r>
    </w:p>
    <w:p w14:paraId="23AAB1CA">
      <w:pPr>
        <w:spacing w:line="360" w:lineRule="auto"/>
        <w:ind w:firstLine="1124" w:firstLineChars="400"/>
        <w:jc w:val="left"/>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招 标 人：</w:t>
      </w:r>
      <w:r>
        <w:rPr>
          <w:rFonts w:hint="eastAsia" w:ascii="宋体" w:hAnsi="宋体" w:eastAsia="宋体" w:cs="宋体"/>
          <w:b/>
          <w:color w:val="auto"/>
          <w:sz w:val="28"/>
          <w:szCs w:val="28"/>
          <w:highlight w:val="none"/>
          <w:lang w:val="en-US" w:eastAsia="zh-CN"/>
        </w:rPr>
        <w:t>深圳市大族数控科技股份有限公司</w:t>
      </w:r>
    </w:p>
    <w:p w14:paraId="17FFFE91">
      <w:pPr>
        <w:spacing w:line="360" w:lineRule="auto"/>
        <w:ind w:firstLine="1124" w:firstLineChars="40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日    期：</w:t>
      </w:r>
      <w:r>
        <w:rPr>
          <w:rFonts w:hint="eastAsia" w:ascii="宋体" w:hAnsi="宋体" w:eastAsia="宋体" w:cs="宋体"/>
          <w:b/>
          <w:color w:val="auto"/>
          <w:sz w:val="28"/>
          <w:szCs w:val="28"/>
          <w:highlight w:val="none"/>
          <w:lang w:eastAsia="zh-CN"/>
        </w:rPr>
        <w:t xml:space="preserve">2026年 </w:t>
      </w:r>
      <w:r>
        <w:rPr>
          <w:rFonts w:hint="eastAsia" w:hAnsi="宋体" w:cs="宋体"/>
          <w:b/>
          <w:color w:val="auto"/>
          <w:sz w:val="28"/>
          <w:szCs w:val="28"/>
          <w:highlight w:val="none"/>
          <w:lang w:val="en-US" w:eastAsia="zh-CN"/>
        </w:rPr>
        <w:t>8</w:t>
      </w:r>
      <w:r>
        <w:rPr>
          <w:rFonts w:hint="eastAsia" w:ascii="宋体" w:hAnsi="宋体" w:eastAsia="宋体" w:cs="宋体"/>
          <w:b/>
          <w:color w:val="auto"/>
          <w:sz w:val="28"/>
          <w:szCs w:val="28"/>
          <w:highlight w:val="none"/>
          <w:lang w:eastAsia="zh-CN"/>
        </w:rPr>
        <w:t xml:space="preserve">月 </w:t>
      </w:r>
      <w:r>
        <w:rPr>
          <w:rFonts w:hint="eastAsia" w:hAnsi="宋体" w:cs="宋体"/>
          <w:b/>
          <w:color w:val="auto"/>
          <w:sz w:val="28"/>
          <w:szCs w:val="28"/>
          <w:highlight w:val="none"/>
          <w:lang w:val="en-US" w:eastAsia="zh-CN"/>
        </w:rPr>
        <w:t>17</w:t>
      </w:r>
      <w:r>
        <w:rPr>
          <w:rFonts w:hint="eastAsia" w:ascii="宋体" w:hAnsi="宋体" w:eastAsia="宋体" w:cs="宋体"/>
          <w:b/>
          <w:color w:val="auto"/>
          <w:sz w:val="28"/>
          <w:szCs w:val="28"/>
          <w:highlight w:val="none"/>
          <w:lang w:eastAsia="zh-CN"/>
        </w:rPr>
        <w:t xml:space="preserve"> 日</w:t>
      </w:r>
    </w:p>
    <w:p w14:paraId="21D6BFD5">
      <w:pPr>
        <w:spacing w:line="360" w:lineRule="auto"/>
        <w:ind w:firstLine="1124" w:firstLineChars="400"/>
        <w:jc w:val="left"/>
        <w:rPr>
          <w:rFonts w:hint="eastAsia" w:ascii="宋体" w:hAnsi="宋体" w:eastAsia="宋体" w:cs="宋体"/>
          <w:b/>
          <w:color w:val="auto"/>
          <w:sz w:val="28"/>
          <w:szCs w:val="28"/>
          <w:highlight w:val="none"/>
          <w:lang w:eastAsia="zh-CN"/>
        </w:rPr>
      </w:pPr>
    </w:p>
    <w:p w14:paraId="71586742">
      <w:pPr>
        <w:pStyle w:val="2"/>
        <w:spacing w:line="360" w:lineRule="auto"/>
        <w:jc w:val="center"/>
        <w:rPr>
          <w:rFonts w:hint="eastAsia" w:ascii="宋体" w:hAnsi="宋体" w:eastAsia="宋体" w:cs="宋体"/>
          <w:color w:val="auto"/>
          <w:sz w:val="32"/>
          <w:szCs w:val="32"/>
          <w:highlight w:val="none"/>
        </w:rPr>
      </w:pPr>
      <w:bookmarkStart w:id="61" w:name="_Toc6189"/>
      <w:bookmarkStart w:id="62" w:name="_Toc24649"/>
      <w:bookmarkStart w:id="63" w:name="_Toc481596017"/>
      <w:bookmarkStart w:id="64" w:name="_Toc11081116"/>
      <w:bookmarkStart w:id="65" w:name="_Toc362441698"/>
      <w:bookmarkStart w:id="66" w:name="_Toc17000"/>
      <w:r>
        <w:rPr>
          <w:rFonts w:hint="eastAsia" w:ascii="宋体" w:hAnsi="宋体" w:eastAsia="宋体" w:cs="宋体"/>
          <w:color w:val="auto"/>
          <w:sz w:val="32"/>
          <w:szCs w:val="32"/>
          <w:highlight w:val="none"/>
        </w:rPr>
        <w:t>投标邀请书</w:t>
      </w:r>
      <w:bookmarkEnd w:id="61"/>
      <w:bookmarkEnd w:id="62"/>
      <w:bookmarkEnd w:id="63"/>
      <w:bookmarkEnd w:id="64"/>
      <w:bookmarkEnd w:id="65"/>
      <w:bookmarkEnd w:id="66"/>
    </w:p>
    <w:p w14:paraId="025DA309">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致：各投标人</w:t>
      </w:r>
    </w:p>
    <w:p w14:paraId="6D8A7283">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 w:val="21"/>
          <w:szCs w:val="21"/>
          <w:highlight w:val="none"/>
        </w:rPr>
        <w:t>根据项目进度，我司拟对</w:t>
      </w:r>
      <w:r>
        <w:rPr>
          <w:rFonts w:hint="eastAsia" w:ascii="宋体" w:hAnsi="宋体" w:eastAsia="宋体" w:cs="宋体"/>
          <w:b/>
          <w:bCs/>
          <w:color w:val="auto"/>
          <w:sz w:val="21"/>
          <w:szCs w:val="21"/>
          <w:highlight w:val="none"/>
          <w:u w:val="single"/>
          <w:lang w:eastAsia="zh-CN"/>
        </w:rPr>
        <w:t>亚</w:t>
      </w:r>
      <w:r>
        <w:rPr>
          <w:rFonts w:hint="eastAsia" w:hAnsi="宋体" w:cs="宋体"/>
          <w:b/>
          <w:bCs/>
          <w:color w:val="auto"/>
          <w:sz w:val="21"/>
          <w:szCs w:val="21"/>
          <w:highlight w:val="none"/>
          <w:u w:val="single"/>
          <w:lang w:val="en-US" w:eastAsia="zh-CN"/>
        </w:rPr>
        <w:t>创</w:t>
      </w:r>
      <w:r>
        <w:rPr>
          <w:rFonts w:hint="eastAsia" w:ascii="宋体" w:hAnsi="宋体" w:eastAsia="宋体" w:cs="宋体"/>
          <w:b/>
          <w:bCs/>
          <w:color w:val="auto"/>
          <w:sz w:val="21"/>
          <w:szCs w:val="21"/>
          <w:highlight w:val="none"/>
          <w:u w:val="single"/>
          <w:lang w:val="en-US" w:eastAsia="zh-CN"/>
        </w:rPr>
        <w:t>研究院实验室</w:t>
      </w:r>
      <w:r>
        <w:rPr>
          <w:rFonts w:hint="eastAsia" w:hAnsi="宋体" w:cs="宋体"/>
          <w:b/>
          <w:bCs/>
          <w:color w:val="auto"/>
          <w:sz w:val="21"/>
          <w:szCs w:val="21"/>
          <w:highlight w:val="none"/>
          <w:u w:val="single"/>
          <w:lang w:val="en-US" w:eastAsia="zh-CN"/>
        </w:rPr>
        <w:t>家具</w:t>
      </w:r>
      <w:r>
        <w:rPr>
          <w:rFonts w:hint="eastAsia" w:ascii="宋体" w:hAnsi="宋体" w:eastAsia="宋体" w:cs="宋体"/>
          <w:b/>
          <w:bCs/>
          <w:color w:val="auto"/>
          <w:sz w:val="21"/>
          <w:szCs w:val="21"/>
          <w:highlight w:val="none"/>
          <w:u w:val="single"/>
          <w:lang w:eastAsia="zh-CN"/>
        </w:rPr>
        <w:t>采购及安装工程</w:t>
      </w:r>
      <w:r>
        <w:rPr>
          <w:rFonts w:hint="eastAsia" w:ascii="宋体" w:hAnsi="宋体" w:eastAsia="宋体" w:cs="宋体"/>
          <w:color w:val="auto"/>
          <w:sz w:val="21"/>
          <w:szCs w:val="21"/>
          <w:highlight w:val="none"/>
        </w:rPr>
        <w:t>进行招标。现特邀请贵司参与本工程的投标。</w:t>
      </w:r>
    </w:p>
    <w:p w14:paraId="63C16D1A">
      <w:pPr>
        <w:pStyle w:val="27"/>
        <w:numPr>
          <w:ilvl w:val="0"/>
          <w:numId w:val="5"/>
        </w:numPr>
        <w:spacing w:line="360" w:lineRule="auto"/>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招标项目和内容：</w:t>
      </w:r>
      <w:r>
        <w:rPr>
          <w:rFonts w:hint="eastAsia" w:hAnsi="宋体" w:cs="宋体"/>
          <w:color w:val="auto"/>
          <w:sz w:val="21"/>
          <w:szCs w:val="21"/>
          <w:highlight w:val="none"/>
          <w:lang w:val="en-US" w:eastAsia="zh-CN"/>
        </w:rPr>
        <w:t>亚创研究院实验室</w:t>
      </w:r>
      <w:r>
        <w:rPr>
          <w:rFonts w:hint="eastAsia" w:ascii="宋体" w:hAnsi="宋体" w:eastAsia="宋体" w:cs="宋体"/>
          <w:color w:val="auto"/>
          <w:sz w:val="21"/>
          <w:szCs w:val="21"/>
          <w:highlight w:val="none"/>
          <w:lang w:eastAsia="zh-CN"/>
        </w:rPr>
        <w:t>家具采购及安装工程。</w:t>
      </w:r>
    </w:p>
    <w:p w14:paraId="47D1400A">
      <w:pPr>
        <w:pStyle w:val="27"/>
        <w:numPr>
          <w:ilvl w:val="0"/>
          <w:numId w:val="5"/>
        </w:numPr>
        <w:spacing w:line="360" w:lineRule="auto"/>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标书的发放时间：</w:t>
      </w:r>
      <w:r>
        <w:rPr>
          <w:rFonts w:hint="eastAsia" w:ascii="宋体" w:hAnsi="宋体" w:eastAsia="宋体" w:cs="宋体"/>
          <w:b/>
          <w:bCs/>
          <w:color w:val="auto"/>
          <w:sz w:val="21"/>
          <w:szCs w:val="21"/>
          <w:highlight w:val="none"/>
          <w:lang w:eastAsia="zh-CN"/>
        </w:rPr>
        <w:t>2026年</w:t>
      </w:r>
      <w:r>
        <w:rPr>
          <w:rFonts w:hint="eastAsia" w:ascii="宋体" w:hAnsi="宋体" w:eastAsia="宋体" w:cs="宋体"/>
          <w:b/>
          <w:bCs/>
          <w:color w:val="auto"/>
          <w:sz w:val="21"/>
          <w:szCs w:val="21"/>
          <w:highlight w:val="none"/>
          <w:lang w:val="en-US" w:eastAsia="zh-CN" w:bidi="ar-SA"/>
        </w:rPr>
        <w:t xml:space="preserve"> </w:t>
      </w:r>
      <w:r>
        <w:rPr>
          <w:rFonts w:hint="eastAsia" w:hAnsi="宋体" w:cs="宋体"/>
          <w:b/>
          <w:bCs/>
          <w:color w:val="auto"/>
          <w:sz w:val="21"/>
          <w:szCs w:val="21"/>
          <w:highlight w:val="none"/>
          <w:lang w:val="en-US" w:eastAsia="zh-CN" w:bidi="ar-SA"/>
        </w:rPr>
        <w:t>8</w:t>
      </w:r>
      <w:r>
        <w:rPr>
          <w:rFonts w:hint="eastAsia" w:ascii="宋体" w:hAnsi="宋体" w:eastAsia="宋体" w:cs="宋体"/>
          <w:b/>
          <w:bCs/>
          <w:color w:val="auto"/>
          <w:sz w:val="21"/>
          <w:szCs w:val="21"/>
          <w:highlight w:val="none"/>
          <w:lang w:eastAsia="zh-CN"/>
        </w:rPr>
        <w:t>月</w:t>
      </w:r>
      <w:r>
        <w:rPr>
          <w:rFonts w:hint="eastAsia" w:ascii="宋体" w:hAnsi="宋体" w:eastAsia="宋体" w:cs="宋体"/>
          <w:b/>
          <w:bCs/>
          <w:color w:val="auto"/>
          <w:sz w:val="21"/>
          <w:szCs w:val="21"/>
          <w:highlight w:val="none"/>
          <w:lang w:val="en-US" w:eastAsia="zh-CN" w:bidi="ar-SA"/>
        </w:rPr>
        <w:t xml:space="preserve"> </w:t>
      </w:r>
      <w:r>
        <w:rPr>
          <w:rFonts w:hint="eastAsia" w:hAnsi="宋体" w:cs="宋体"/>
          <w:b/>
          <w:bCs/>
          <w:color w:val="auto"/>
          <w:sz w:val="21"/>
          <w:szCs w:val="21"/>
          <w:highlight w:val="none"/>
          <w:lang w:val="en-US" w:eastAsia="zh-CN" w:bidi="ar-SA"/>
        </w:rPr>
        <w:t>17</w:t>
      </w:r>
      <w:r>
        <w:rPr>
          <w:rFonts w:hint="eastAsia" w:ascii="宋体" w:hAnsi="宋体" w:eastAsia="宋体" w:cs="宋体"/>
          <w:b/>
          <w:bCs/>
          <w:color w:val="auto"/>
          <w:sz w:val="21"/>
          <w:szCs w:val="21"/>
          <w:highlight w:val="none"/>
          <w:lang w:eastAsia="zh-CN"/>
        </w:rPr>
        <w:t>日</w:t>
      </w:r>
      <w:r>
        <w:rPr>
          <w:rFonts w:hint="eastAsia" w:ascii="宋体" w:hAnsi="宋体" w:eastAsia="宋体" w:cs="宋体"/>
          <w:color w:val="auto"/>
          <w:sz w:val="21"/>
          <w:szCs w:val="21"/>
          <w:highlight w:val="none"/>
        </w:rPr>
        <w:t>，标书发放形式：电子邮件。</w:t>
      </w:r>
    </w:p>
    <w:p w14:paraId="4724E93E">
      <w:pPr>
        <w:pStyle w:val="27"/>
        <w:numPr>
          <w:ilvl w:val="0"/>
          <w:numId w:val="5"/>
        </w:numPr>
        <w:spacing w:line="360" w:lineRule="auto"/>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各投标人需在</w:t>
      </w:r>
      <w:r>
        <w:rPr>
          <w:rFonts w:hint="eastAsia" w:ascii="宋体" w:hAnsi="宋体" w:eastAsia="宋体" w:cs="宋体"/>
          <w:b/>
          <w:bCs/>
          <w:color w:val="auto"/>
          <w:sz w:val="21"/>
          <w:szCs w:val="21"/>
          <w:highlight w:val="none"/>
        </w:rPr>
        <w:t>202</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b/>
          <w:bCs/>
          <w:color w:val="auto"/>
          <w:sz w:val="21"/>
          <w:szCs w:val="21"/>
          <w:highlight w:val="none"/>
          <w:lang w:val="en-US" w:eastAsia="zh-CN" w:bidi="ar-SA"/>
        </w:rPr>
        <w:t xml:space="preserve"> </w:t>
      </w:r>
      <w:r>
        <w:rPr>
          <w:rFonts w:hint="eastAsia" w:hAnsi="宋体" w:cs="宋体"/>
          <w:b/>
          <w:bCs/>
          <w:color w:val="auto"/>
          <w:sz w:val="21"/>
          <w:szCs w:val="21"/>
          <w:highlight w:val="none"/>
          <w:lang w:val="en-US" w:eastAsia="zh-CN" w:bidi="ar-SA"/>
        </w:rPr>
        <w:t>8</w:t>
      </w:r>
      <w:r>
        <w:rPr>
          <w:rFonts w:hint="eastAsia" w:ascii="宋体" w:hAnsi="宋体" w:eastAsia="宋体" w:cs="宋体"/>
          <w:b/>
          <w:bCs/>
          <w:color w:val="auto"/>
          <w:sz w:val="21"/>
          <w:szCs w:val="21"/>
          <w:highlight w:val="none"/>
          <w:lang w:val="en-US" w:eastAsia="zh-CN" w:bidi="ar-SA"/>
        </w:rPr>
        <w:t xml:space="preserve"> </w:t>
      </w:r>
      <w:r>
        <w:rPr>
          <w:rFonts w:hint="eastAsia" w:ascii="宋体" w:hAnsi="宋体" w:eastAsia="宋体" w:cs="宋体"/>
          <w:color w:val="auto"/>
          <w:sz w:val="21"/>
          <w:szCs w:val="21"/>
          <w:highlight w:val="none"/>
        </w:rPr>
        <w:t>月</w:t>
      </w:r>
      <w:r>
        <w:rPr>
          <w:rFonts w:hint="eastAsia" w:ascii="宋体" w:hAnsi="宋体" w:eastAsia="宋体" w:cs="宋体"/>
          <w:b/>
          <w:bCs/>
          <w:color w:val="auto"/>
          <w:sz w:val="21"/>
          <w:szCs w:val="21"/>
          <w:highlight w:val="none"/>
          <w:lang w:val="en-US" w:eastAsia="zh-CN" w:bidi="ar-SA"/>
        </w:rPr>
        <w:t xml:space="preserve"> </w:t>
      </w:r>
      <w:r>
        <w:rPr>
          <w:rFonts w:hint="eastAsia" w:hAnsi="宋体" w:cs="宋体"/>
          <w:b/>
          <w:bCs/>
          <w:color w:val="auto"/>
          <w:sz w:val="21"/>
          <w:szCs w:val="21"/>
          <w:highlight w:val="none"/>
          <w:lang w:val="en-US" w:eastAsia="zh-CN" w:bidi="ar-SA"/>
        </w:rPr>
        <w:t>19</w:t>
      </w:r>
      <w:r>
        <w:rPr>
          <w:rFonts w:hint="eastAsia" w:ascii="宋体" w:hAnsi="宋体" w:eastAsia="宋体" w:cs="宋体"/>
          <w:color w:val="auto"/>
          <w:sz w:val="21"/>
          <w:szCs w:val="21"/>
          <w:highlight w:val="none"/>
        </w:rPr>
        <w:t>日前</w:t>
      </w:r>
      <w:r>
        <w:rPr>
          <w:rFonts w:hint="eastAsia" w:ascii="宋体" w:hAnsi="宋体" w:eastAsia="宋体" w:cs="宋体"/>
          <w:b/>
          <w:bCs/>
          <w:color w:val="auto"/>
          <w:sz w:val="21"/>
          <w:szCs w:val="21"/>
          <w:highlight w:val="none"/>
        </w:rPr>
        <w:t>《确认回执》</w:t>
      </w:r>
      <w:r>
        <w:rPr>
          <w:rFonts w:hint="eastAsia" w:ascii="宋体" w:hAnsi="宋体" w:eastAsia="宋体" w:cs="宋体"/>
          <w:b/>
          <w:bCs/>
          <w:color w:val="auto"/>
          <w:sz w:val="21"/>
          <w:szCs w:val="21"/>
          <w:highlight w:val="none"/>
          <w:lang w:eastAsia="zh-CN"/>
        </w:rPr>
        <w:t>内容</w:t>
      </w:r>
      <w:r>
        <w:rPr>
          <w:rFonts w:hint="eastAsia" w:ascii="宋体" w:hAnsi="宋体" w:eastAsia="宋体" w:cs="宋体"/>
          <w:b/>
          <w:bCs/>
          <w:color w:val="auto"/>
          <w:sz w:val="21"/>
          <w:szCs w:val="21"/>
          <w:highlight w:val="none"/>
        </w:rPr>
        <w:t>以邮件的方式</w:t>
      </w:r>
      <w:r>
        <w:rPr>
          <w:rFonts w:hint="eastAsia" w:ascii="宋体" w:hAnsi="宋体" w:eastAsia="宋体" w:cs="宋体"/>
          <w:color w:val="auto"/>
          <w:sz w:val="21"/>
          <w:szCs w:val="21"/>
          <w:highlight w:val="none"/>
        </w:rPr>
        <w:t>发给招标联系人，截标时将</w:t>
      </w:r>
      <w:r>
        <w:rPr>
          <w:rFonts w:hint="eastAsia" w:ascii="宋体" w:hAnsi="宋体" w:eastAsia="宋体" w:cs="宋体"/>
          <w:b w:val="0"/>
          <w:bCs w:val="0"/>
          <w:color w:val="auto"/>
          <w:sz w:val="21"/>
          <w:szCs w:val="21"/>
          <w:highlight w:val="none"/>
        </w:rPr>
        <w:t>《确认回执》</w:t>
      </w:r>
      <w:r>
        <w:rPr>
          <w:rFonts w:hint="eastAsia" w:ascii="宋体" w:hAnsi="宋体" w:eastAsia="宋体" w:cs="宋体"/>
          <w:b w:val="0"/>
          <w:bCs w:val="0"/>
          <w:color w:val="auto"/>
          <w:sz w:val="21"/>
          <w:szCs w:val="21"/>
          <w:highlight w:val="none"/>
          <w:lang w:eastAsia="zh-CN"/>
        </w:rPr>
        <w:t>盖章</w:t>
      </w:r>
      <w:r>
        <w:rPr>
          <w:rFonts w:hint="eastAsia" w:ascii="宋体" w:hAnsi="宋体" w:eastAsia="宋体" w:cs="宋体"/>
          <w:b w:val="0"/>
          <w:bCs w:val="0"/>
          <w:color w:val="auto"/>
          <w:sz w:val="21"/>
          <w:szCs w:val="21"/>
          <w:highlight w:val="none"/>
        </w:rPr>
        <w:t>原件</w:t>
      </w:r>
      <w:r>
        <w:rPr>
          <w:rFonts w:hint="eastAsia" w:ascii="宋体" w:hAnsi="宋体" w:eastAsia="宋体" w:cs="宋体"/>
          <w:color w:val="auto"/>
          <w:sz w:val="21"/>
          <w:szCs w:val="21"/>
          <w:highlight w:val="none"/>
        </w:rPr>
        <w:t>连同标书一起递交。</w:t>
      </w:r>
    </w:p>
    <w:p w14:paraId="7728CD53">
      <w:pPr>
        <w:pStyle w:val="27"/>
        <w:numPr>
          <w:ilvl w:val="0"/>
          <w:numId w:val="5"/>
        </w:numPr>
        <w:spacing w:line="360" w:lineRule="auto"/>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招标答疑时间：详见《投标须知前附表》</w:t>
      </w:r>
      <w:r>
        <w:rPr>
          <w:rFonts w:hint="eastAsia" w:ascii="宋体" w:hAnsi="宋体" w:eastAsia="宋体" w:cs="宋体"/>
          <w:color w:val="auto"/>
          <w:sz w:val="21"/>
          <w:szCs w:val="21"/>
          <w:highlight w:val="none"/>
          <w:lang w:eastAsia="zh-CN"/>
        </w:rPr>
        <w:t>。</w:t>
      </w:r>
    </w:p>
    <w:p w14:paraId="4A8885D9">
      <w:pPr>
        <w:pStyle w:val="27"/>
        <w:numPr>
          <w:ilvl w:val="0"/>
          <w:numId w:val="5"/>
        </w:numPr>
        <w:spacing w:line="360" w:lineRule="auto"/>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投标截止时间：</w:t>
      </w:r>
      <w:r>
        <w:rPr>
          <w:rFonts w:hint="eastAsia" w:ascii="宋体" w:hAnsi="宋体" w:eastAsia="宋体" w:cs="宋体"/>
          <w:b/>
          <w:bCs/>
          <w:color w:val="auto"/>
          <w:sz w:val="21"/>
          <w:szCs w:val="21"/>
          <w:highlight w:val="none"/>
        </w:rPr>
        <w:t>202</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b/>
          <w:bCs/>
          <w:color w:val="auto"/>
          <w:sz w:val="21"/>
          <w:szCs w:val="21"/>
          <w:highlight w:val="none"/>
          <w:lang w:val="en-US" w:eastAsia="zh-CN" w:bidi="ar-SA"/>
        </w:rPr>
        <w:t xml:space="preserve"> </w:t>
      </w:r>
      <w:r>
        <w:rPr>
          <w:rFonts w:hint="eastAsia" w:hAnsi="宋体" w:cs="宋体"/>
          <w:b/>
          <w:bCs/>
          <w:color w:val="auto"/>
          <w:sz w:val="21"/>
          <w:szCs w:val="21"/>
          <w:highlight w:val="none"/>
          <w:lang w:val="en-US" w:eastAsia="zh-CN" w:bidi="ar-SA"/>
        </w:rPr>
        <w:t>8</w:t>
      </w:r>
      <w:r>
        <w:rPr>
          <w:rFonts w:hint="eastAsia" w:ascii="宋体" w:hAnsi="宋体" w:eastAsia="宋体" w:cs="宋体"/>
          <w:b/>
          <w:bCs/>
          <w:color w:val="auto"/>
          <w:sz w:val="21"/>
          <w:szCs w:val="21"/>
          <w:highlight w:val="none"/>
          <w:lang w:val="en-US" w:eastAsia="zh-CN" w:bidi="ar-SA"/>
        </w:rPr>
        <w:t xml:space="preserve"> </w:t>
      </w:r>
      <w:r>
        <w:rPr>
          <w:rFonts w:hint="eastAsia" w:ascii="宋体" w:hAnsi="宋体" w:eastAsia="宋体" w:cs="宋体"/>
          <w:color w:val="auto"/>
          <w:sz w:val="21"/>
          <w:szCs w:val="21"/>
          <w:highlight w:val="none"/>
        </w:rPr>
        <w:t>月</w:t>
      </w:r>
      <w:r>
        <w:rPr>
          <w:rFonts w:hint="eastAsia" w:ascii="宋体" w:hAnsi="宋体" w:eastAsia="宋体" w:cs="宋体"/>
          <w:b/>
          <w:bCs/>
          <w:color w:val="auto"/>
          <w:sz w:val="21"/>
          <w:szCs w:val="21"/>
          <w:highlight w:val="none"/>
          <w:lang w:val="en-US" w:eastAsia="zh-CN" w:bidi="ar-SA"/>
        </w:rPr>
        <w:t xml:space="preserve"> </w:t>
      </w:r>
      <w:r>
        <w:rPr>
          <w:rFonts w:hint="eastAsia" w:hAnsi="宋体" w:cs="宋体"/>
          <w:b/>
          <w:bCs/>
          <w:color w:val="auto"/>
          <w:sz w:val="21"/>
          <w:szCs w:val="21"/>
          <w:highlight w:val="none"/>
          <w:lang w:val="en-US" w:eastAsia="zh-CN" w:bidi="ar-SA"/>
        </w:rPr>
        <w:t>24</w:t>
      </w:r>
      <w:r>
        <w:rPr>
          <w:rFonts w:hint="eastAsia" w:ascii="宋体" w:hAnsi="宋体" w:eastAsia="宋体" w:cs="宋体"/>
          <w:color w:val="auto"/>
          <w:sz w:val="21"/>
          <w:szCs w:val="21"/>
          <w:highlight w:val="none"/>
        </w:rPr>
        <w:t>日下午</w:t>
      </w:r>
      <w:r>
        <w:rPr>
          <w:rFonts w:hint="eastAsia" w:ascii="宋体" w:hAnsi="宋体" w:eastAsia="宋体" w:cs="宋体"/>
          <w:b/>
          <w:bCs/>
          <w:color w:val="auto"/>
          <w:sz w:val="21"/>
          <w:szCs w:val="21"/>
          <w:highlight w:val="none"/>
          <w:lang w:val="en-US" w:eastAsia="zh-CN" w:bidi="ar-SA"/>
        </w:rPr>
        <w:t xml:space="preserve"> 18：00  </w:t>
      </w:r>
      <w:r>
        <w:rPr>
          <w:rFonts w:hint="eastAsia" w:ascii="宋体" w:hAnsi="宋体" w:eastAsia="宋体" w:cs="宋体"/>
          <w:color w:val="auto"/>
          <w:sz w:val="21"/>
          <w:szCs w:val="21"/>
          <w:highlight w:val="none"/>
        </w:rPr>
        <w:t>前。</w:t>
      </w:r>
    </w:p>
    <w:p w14:paraId="5BD5E6D8">
      <w:pPr>
        <w:pStyle w:val="27"/>
        <w:numPr>
          <w:ilvl w:val="0"/>
          <w:numId w:val="5"/>
        </w:numPr>
        <w:spacing w:line="360" w:lineRule="auto"/>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样板及标书</w:t>
      </w:r>
      <w:r>
        <w:rPr>
          <w:rFonts w:hint="eastAsia" w:ascii="宋体" w:hAnsi="宋体" w:eastAsia="宋体" w:cs="宋体"/>
          <w:color w:val="auto"/>
          <w:sz w:val="21"/>
          <w:szCs w:val="21"/>
          <w:highlight w:val="none"/>
        </w:rPr>
        <w:t>投递标书地点：</w:t>
      </w:r>
      <w:r>
        <w:rPr>
          <w:rFonts w:hint="eastAsia" w:ascii="宋体" w:hAnsi="宋体" w:eastAsia="宋体" w:cs="宋体"/>
          <w:b/>
          <w:bCs/>
          <w:color w:val="auto"/>
          <w:sz w:val="21"/>
          <w:szCs w:val="21"/>
          <w:highlight w:val="none"/>
          <w:lang w:val="en-US" w:eastAsia="zh-CN" w:bidi="ar-SA"/>
        </w:rPr>
        <w:t xml:space="preserve"> 深圳市宝安区福海街道和平社区重庆路12号大族激光智造中心3栋7楼</w:t>
      </w:r>
      <w:r>
        <w:rPr>
          <w:rFonts w:hint="eastAsia" w:hAnsi="宋体" w:cs="宋体"/>
          <w:b/>
          <w:bCs/>
          <w:color w:val="auto"/>
          <w:sz w:val="21"/>
          <w:szCs w:val="21"/>
          <w:highlight w:val="none"/>
          <w:lang w:val="en-US" w:eastAsia="zh-CN" w:bidi="ar-SA"/>
        </w:rPr>
        <w:t>前台</w:t>
      </w:r>
      <w:r>
        <w:rPr>
          <w:rFonts w:hint="eastAsia" w:ascii="宋体" w:hAnsi="宋体" w:eastAsia="宋体" w:cs="宋体"/>
          <w:b/>
          <w:bCs/>
          <w:color w:val="auto"/>
          <w:sz w:val="21"/>
          <w:szCs w:val="21"/>
          <w:highlight w:val="none"/>
          <w:lang w:val="en-US" w:eastAsia="zh-CN" w:bidi="ar-SA"/>
        </w:rPr>
        <w:t xml:space="preserve">  </w:t>
      </w:r>
    </w:p>
    <w:p w14:paraId="160B9AFA">
      <w:pPr>
        <w:pStyle w:val="27"/>
        <w:numPr>
          <w:ilvl w:val="0"/>
          <w:numId w:val="5"/>
        </w:numPr>
        <w:spacing w:line="360" w:lineRule="auto"/>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本次招标不收取图纸押金，不收取招标文件工本费。</w:t>
      </w:r>
    </w:p>
    <w:p w14:paraId="0D315987">
      <w:pPr>
        <w:numPr>
          <w:ilvl w:val="0"/>
          <w:numId w:val="5"/>
        </w:numPr>
        <w:spacing w:line="360" w:lineRule="auto"/>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无论投标人中标与否，均应自行承担参加本次招标活动所发生的费用。</w:t>
      </w:r>
    </w:p>
    <w:p w14:paraId="1C148E25">
      <w:pPr>
        <w:numPr>
          <w:ilvl w:val="0"/>
          <w:numId w:val="5"/>
        </w:numPr>
        <w:spacing w:line="360" w:lineRule="auto"/>
        <w:ind w:left="0" w:firstLine="420" w:firstLineChars="200"/>
        <w:jc w:val="both"/>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招</w:t>
      </w:r>
      <w:r>
        <w:rPr>
          <w:rFonts w:hint="eastAsia" w:ascii="宋体" w:hAnsi="宋体" w:eastAsia="宋体" w:cs="宋体"/>
          <w:color w:val="auto"/>
          <w:sz w:val="21"/>
          <w:szCs w:val="21"/>
          <w:highlight w:val="none"/>
          <w:lang w:val="en-US" w:eastAsia="zh-CN"/>
        </w:rPr>
        <w:t>投</w:t>
      </w:r>
      <w:r>
        <w:rPr>
          <w:rFonts w:hint="eastAsia" w:ascii="宋体" w:hAnsi="宋体" w:eastAsia="宋体" w:cs="宋体"/>
          <w:color w:val="auto"/>
          <w:sz w:val="21"/>
          <w:szCs w:val="21"/>
          <w:highlight w:val="none"/>
        </w:rPr>
        <w:t>标联系人：</w:t>
      </w:r>
      <w:r>
        <w:rPr>
          <w:rFonts w:hint="eastAsia" w:ascii="宋体" w:hAnsi="宋体" w:eastAsia="宋体" w:cs="宋体"/>
          <w:b/>
          <w:bCs/>
          <w:color w:val="auto"/>
          <w:sz w:val="21"/>
          <w:szCs w:val="21"/>
          <w:highlight w:val="none"/>
          <w:lang w:val="en-US" w:eastAsia="zh-CN"/>
        </w:rPr>
        <w:t xml:space="preserve"> 崔庆华19353406904</w:t>
      </w:r>
      <w:r>
        <w:rPr>
          <w:rFonts w:hint="eastAsia" w:hAnsi="宋体" w:cs="宋体"/>
          <w:b/>
          <w:bCs/>
          <w:color w:val="auto"/>
          <w:sz w:val="21"/>
          <w:szCs w:val="21"/>
          <w:highlight w:val="none"/>
          <w:lang w:val="en-US" w:eastAsia="zh-CN"/>
        </w:rPr>
        <w:t>、覃菲菲</w:t>
      </w:r>
      <w:r>
        <w:rPr>
          <w:rFonts w:hint="eastAsia" w:ascii="宋体" w:hAnsi="宋体" w:eastAsia="宋体" w:cs="宋体"/>
          <w:b/>
          <w:bCs/>
          <w:color w:val="auto"/>
          <w:sz w:val="21"/>
          <w:szCs w:val="21"/>
          <w:highlight w:val="none"/>
          <w:lang w:val="en-US" w:eastAsia="zh-CN"/>
        </w:rPr>
        <w:t xml:space="preserve">17758601885  </w:t>
      </w:r>
    </w:p>
    <w:p w14:paraId="67482B59">
      <w:pPr>
        <w:pStyle w:val="27"/>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 xml:space="preserve">     地址：</w:t>
      </w:r>
      <w:r>
        <w:rPr>
          <w:rFonts w:hint="eastAsia" w:ascii="宋体" w:hAnsi="宋体" w:eastAsia="宋体" w:cs="宋体"/>
          <w:b/>
          <w:bCs/>
          <w:color w:val="auto"/>
          <w:sz w:val="21"/>
          <w:szCs w:val="21"/>
          <w:highlight w:val="none"/>
          <w:lang w:val="en-US" w:eastAsia="zh-CN" w:bidi="ar-SA"/>
        </w:rPr>
        <w:t xml:space="preserve">  深圳市宝安区福海街道和平社区重庆路12号大族激光智造中心3栋7楼           </w:t>
      </w:r>
    </w:p>
    <w:p w14:paraId="32428523">
      <w:pPr>
        <w:tabs>
          <w:tab w:val="left" w:pos="1440"/>
        </w:tabs>
        <w:spacing w:line="360" w:lineRule="auto"/>
        <w:ind w:firstLine="420" w:firstLineChars="200"/>
        <w:jc w:val="both"/>
        <w:rPr>
          <w:rFonts w:hint="eastAsia" w:ascii="宋体" w:hAnsi="宋体" w:eastAsia="宋体" w:cs="宋体"/>
          <w:color w:val="auto"/>
          <w:sz w:val="21"/>
          <w:szCs w:val="21"/>
          <w:highlight w:val="none"/>
        </w:rPr>
      </w:pPr>
    </w:p>
    <w:p w14:paraId="61F46920">
      <w:pPr>
        <w:tabs>
          <w:tab w:val="left" w:pos="1440"/>
        </w:tabs>
        <w:spacing w:line="360" w:lineRule="auto"/>
        <w:ind w:firstLine="420" w:firstLineChars="200"/>
        <w:jc w:val="both"/>
        <w:rPr>
          <w:rFonts w:hint="eastAsia" w:ascii="宋体" w:hAnsi="宋体" w:eastAsia="宋体" w:cs="宋体"/>
          <w:color w:val="auto"/>
          <w:sz w:val="21"/>
          <w:szCs w:val="21"/>
          <w:highlight w:val="none"/>
        </w:rPr>
      </w:pPr>
    </w:p>
    <w:p w14:paraId="5B72E4C0">
      <w:pPr>
        <w:tabs>
          <w:tab w:val="left" w:pos="1440"/>
        </w:tabs>
        <w:spacing w:line="360" w:lineRule="auto"/>
        <w:ind w:firstLine="420" w:firstLineChars="200"/>
        <w:jc w:val="both"/>
        <w:rPr>
          <w:rFonts w:hint="eastAsia" w:ascii="宋体" w:hAnsi="宋体" w:eastAsia="宋体" w:cs="宋体"/>
          <w:color w:val="auto"/>
          <w:sz w:val="21"/>
          <w:szCs w:val="21"/>
          <w:highlight w:val="none"/>
        </w:rPr>
      </w:pPr>
    </w:p>
    <w:p w14:paraId="232F188E">
      <w:pPr>
        <w:tabs>
          <w:tab w:val="left" w:pos="1440"/>
        </w:tabs>
        <w:spacing w:line="360" w:lineRule="auto"/>
        <w:ind w:firstLine="420" w:firstLineChars="200"/>
        <w:jc w:val="both"/>
        <w:rPr>
          <w:rFonts w:hint="eastAsia" w:ascii="宋体" w:hAnsi="宋体" w:eastAsia="宋体" w:cs="宋体"/>
          <w:color w:val="auto"/>
          <w:sz w:val="21"/>
          <w:szCs w:val="21"/>
          <w:highlight w:val="none"/>
        </w:rPr>
      </w:pPr>
    </w:p>
    <w:p w14:paraId="7E74698D">
      <w:pPr>
        <w:tabs>
          <w:tab w:val="left" w:pos="1440"/>
        </w:tabs>
        <w:spacing w:line="360" w:lineRule="auto"/>
        <w:ind w:firstLine="420" w:firstLineChars="200"/>
        <w:jc w:val="both"/>
        <w:rPr>
          <w:rFonts w:hint="eastAsia" w:ascii="宋体" w:hAnsi="宋体" w:eastAsia="宋体" w:cs="宋体"/>
          <w:color w:val="auto"/>
          <w:sz w:val="21"/>
          <w:szCs w:val="21"/>
          <w:highlight w:val="none"/>
        </w:rPr>
      </w:pPr>
    </w:p>
    <w:p w14:paraId="52B3EEDB">
      <w:pPr>
        <w:tabs>
          <w:tab w:val="left" w:pos="1440"/>
        </w:tabs>
        <w:spacing w:line="360" w:lineRule="auto"/>
        <w:ind w:firstLine="420" w:firstLineChars="200"/>
        <w:jc w:val="both"/>
        <w:rPr>
          <w:rFonts w:hint="eastAsia" w:ascii="宋体" w:hAnsi="宋体" w:eastAsia="宋体" w:cs="宋体"/>
          <w:color w:val="auto"/>
          <w:sz w:val="21"/>
          <w:szCs w:val="21"/>
          <w:highlight w:val="none"/>
          <w:u w:val="single"/>
        </w:rPr>
      </w:pPr>
    </w:p>
    <w:p w14:paraId="5F495CC0">
      <w:pPr>
        <w:tabs>
          <w:tab w:val="left" w:pos="1440"/>
        </w:tabs>
        <w:spacing w:before="120" w:beforeLines="50" w:line="360" w:lineRule="auto"/>
        <w:ind w:firstLine="5040" w:firstLineChars="24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招标人：</w:t>
      </w:r>
      <w:r>
        <w:rPr>
          <w:rFonts w:hint="eastAsia" w:ascii="宋体" w:hAnsi="宋体" w:eastAsia="宋体" w:cs="宋体"/>
          <w:color w:val="auto"/>
          <w:sz w:val="21"/>
          <w:szCs w:val="21"/>
          <w:highlight w:val="none"/>
          <w:lang w:val="en-US" w:eastAsia="zh-CN"/>
        </w:rPr>
        <w:t>深圳市大族数控科技股份有限公司</w:t>
      </w:r>
    </w:p>
    <w:p w14:paraId="3DA95C33">
      <w:pPr>
        <w:tabs>
          <w:tab w:val="left" w:pos="1440"/>
        </w:tabs>
        <w:spacing w:before="120" w:beforeLines="50" w:line="360" w:lineRule="auto"/>
        <w:ind w:firstLine="5565" w:firstLineChars="2650"/>
        <w:rPr>
          <w:rFonts w:hint="eastAsia" w:ascii="宋体" w:hAnsi="宋体" w:eastAsia="宋体" w:cs="宋体"/>
          <w:b w:val="0"/>
          <w:bCs w:val="0"/>
          <w:color w:val="auto"/>
          <w:sz w:val="21"/>
          <w:szCs w:val="21"/>
          <w:highlight w:val="none"/>
          <w:lang w:eastAsia="zh-CN"/>
        </w:rPr>
      </w:pP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期：</w:t>
      </w:r>
      <w:r>
        <w:rPr>
          <w:rFonts w:hint="eastAsia" w:ascii="宋体" w:hAnsi="宋体" w:eastAsia="宋体" w:cs="宋体"/>
          <w:color w:val="auto"/>
          <w:sz w:val="21"/>
          <w:szCs w:val="21"/>
          <w:highlight w:val="none"/>
          <w:lang w:eastAsia="zh-CN"/>
        </w:rPr>
        <w:t>2026年</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8 </w:t>
      </w:r>
      <w:r>
        <w:rPr>
          <w:rFonts w:hint="eastAsia" w:ascii="宋体" w:hAnsi="宋体" w:eastAsia="宋体" w:cs="宋体"/>
          <w:b w:val="0"/>
          <w:bCs w:val="0"/>
          <w:color w:val="auto"/>
          <w:sz w:val="21"/>
          <w:szCs w:val="21"/>
          <w:highlight w:val="none"/>
          <w:lang w:eastAsia="zh-CN"/>
        </w:rPr>
        <w:t>月</w:t>
      </w:r>
      <w:r>
        <w:rPr>
          <w:rFonts w:hint="eastAsia" w:ascii="宋体" w:hAnsi="宋体" w:eastAsia="宋体" w:cs="宋体"/>
          <w:b w:val="0"/>
          <w:bCs w:val="0"/>
          <w:color w:val="auto"/>
          <w:sz w:val="21"/>
          <w:szCs w:val="21"/>
          <w:highlight w:val="none"/>
          <w:lang w:val="en-US" w:eastAsia="zh-CN"/>
        </w:rPr>
        <w:t xml:space="preserve"> </w:t>
      </w:r>
      <w:r>
        <w:rPr>
          <w:rFonts w:hint="eastAsia" w:hAnsi="宋体" w:cs="宋体"/>
          <w:b w:val="0"/>
          <w:bCs w:val="0"/>
          <w:color w:val="auto"/>
          <w:sz w:val="21"/>
          <w:szCs w:val="21"/>
          <w:highlight w:val="none"/>
          <w:lang w:val="en-US" w:eastAsia="zh-CN"/>
        </w:rPr>
        <w:t xml:space="preserve">17 </w:t>
      </w:r>
      <w:r>
        <w:rPr>
          <w:rFonts w:hint="eastAsia" w:ascii="宋体" w:hAnsi="宋体" w:eastAsia="宋体" w:cs="宋体"/>
          <w:b w:val="0"/>
          <w:bCs w:val="0"/>
          <w:color w:val="auto"/>
          <w:sz w:val="21"/>
          <w:szCs w:val="21"/>
          <w:highlight w:val="none"/>
          <w:lang w:eastAsia="zh-CN"/>
        </w:rPr>
        <w:t>日</w:t>
      </w:r>
    </w:p>
    <w:p w14:paraId="407B5BA0">
      <w:pPr>
        <w:tabs>
          <w:tab w:val="left" w:pos="1440"/>
        </w:tabs>
        <w:spacing w:line="360" w:lineRule="auto"/>
        <w:ind w:left="786"/>
        <w:jc w:val="right"/>
        <w:rPr>
          <w:rFonts w:hint="eastAsia" w:ascii="宋体" w:hAnsi="宋体" w:eastAsia="宋体" w:cs="宋体"/>
          <w:color w:val="auto"/>
          <w:sz w:val="21"/>
          <w:szCs w:val="21"/>
          <w:highlight w:val="none"/>
        </w:rPr>
      </w:pPr>
    </w:p>
    <w:p w14:paraId="2DE9472A">
      <w:pPr>
        <w:tabs>
          <w:tab w:val="left" w:pos="1440"/>
        </w:tabs>
        <w:spacing w:line="360" w:lineRule="auto"/>
        <w:ind w:left="786"/>
        <w:jc w:val="right"/>
        <w:rPr>
          <w:rFonts w:hint="eastAsia" w:ascii="宋体" w:hAnsi="宋体" w:eastAsia="宋体" w:cs="宋体"/>
          <w:color w:val="auto"/>
          <w:sz w:val="21"/>
          <w:szCs w:val="21"/>
          <w:highlight w:val="none"/>
        </w:rPr>
      </w:pPr>
    </w:p>
    <w:p w14:paraId="695BE395">
      <w:pPr>
        <w:tabs>
          <w:tab w:val="left" w:pos="1440"/>
        </w:tabs>
        <w:spacing w:line="360" w:lineRule="auto"/>
        <w:ind w:left="786"/>
        <w:jc w:val="right"/>
        <w:rPr>
          <w:rFonts w:hint="eastAsia" w:ascii="宋体" w:hAnsi="宋体" w:eastAsia="宋体" w:cs="宋体"/>
          <w:color w:val="auto"/>
          <w:sz w:val="21"/>
          <w:szCs w:val="21"/>
          <w:highlight w:val="none"/>
        </w:rPr>
      </w:pPr>
    </w:p>
    <w:p w14:paraId="0536B65B">
      <w:pPr>
        <w:tabs>
          <w:tab w:val="left" w:pos="1440"/>
        </w:tabs>
        <w:spacing w:line="360" w:lineRule="auto"/>
        <w:ind w:left="786"/>
        <w:jc w:val="right"/>
        <w:rPr>
          <w:rFonts w:hint="eastAsia" w:ascii="宋体" w:hAnsi="宋体" w:eastAsia="宋体" w:cs="宋体"/>
          <w:color w:val="auto"/>
          <w:sz w:val="21"/>
          <w:szCs w:val="21"/>
          <w:highlight w:val="none"/>
        </w:rPr>
      </w:pPr>
    </w:p>
    <w:p w14:paraId="1EFE71C4">
      <w:pPr>
        <w:tabs>
          <w:tab w:val="left" w:pos="1440"/>
        </w:tabs>
        <w:spacing w:line="360" w:lineRule="auto"/>
        <w:ind w:left="786"/>
        <w:jc w:val="right"/>
        <w:rPr>
          <w:rFonts w:hint="eastAsia" w:ascii="宋体" w:hAnsi="宋体" w:eastAsia="宋体" w:cs="宋体"/>
          <w:color w:val="auto"/>
          <w:sz w:val="21"/>
          <w:szCs w:val="21"/>
          <w:highlight w:val="none"/>
        </w:rPr>
      </w:pPr>
    </w:p>
    <w:p w14:paraId="225F223B">
      <w:pPr>
        <w:tabs>
          <w:tab w:val="left" w:pos="1440"/>
        </w:tabs>
        <w:spacing w:line="360" w:lineRule="auto"/>
        <w:ind w:left="786"/>
        <w:jc w:val="right"/>
        <w:rPr>
          <w:rFonts w:hint="eastAsia" w:ascii="宋体" w:hAnsi="宋体" w:eastAsia="宋体" w:cs="宋体"/>
          <w:color w:val="auto"/>
          <w:sz w:val="21"/>
          <w:szCs w:val="21"/>
          <w:highlight w:val="none"/>
        </w:rPr>
      </w:pPr>
    </w:p>
    <w:p w14:paraId="36B0E37D">
      <w:pPr>
        <w:tabs>
          <w:tab w:val="left" w:pos="1440"/>
        </w:tabs>
        <w:spacing w:line="360" w:lineRule="auto"/>
        <w:ind w:left="786"/>
        <w:jc w:val="right"/>
        <w:rPr>
          <w:rFonts w:hint="eastAsia" w:ascii="宋体" w:hAnsi="宋体" w:eastAsia="宋体" w:cs="宋体"/>
          <w:color w:val="auto"/>
          <w:sz w:val="21"/>
          <w:szCs w:val="21"/>
          <w:highlight w:val="none"/>
        </w:rPr>
      </w:pPr>
    </w:p>
    <w:p w14:paraId="3B13F2C6">
      <w:pPr>
        <w:tabs>
          <w:tab w:val="left" w:pos="1440"/>
        </w:tabs>
        <w:spacing w:line="360" w:lineRule="auto"/>
        <w:ind w:left="786"/>
        <w:jc w:val="right"/>
        <w:rPr>
          <w:rFonts w:hint="eastAsia" w:ascii="宋体" w:hAnsi="宋体" w:eastAsia="宋体" w:cs="宋体"/>
          <w:color w:val="auto"/>
          <w:sz w:val="21"/>
          <w:szCs w:val="21"/>
          <w:highlight w:val="none"/>
        </w:rPr>
      </w:pPr>
    </w:p>
    <w:p w14:paraId="075570E5">
      <w:pPr>
        <w:tabs>
          <w:tab w:val="left" w:pos="1440"/>
        </w:tabs>
        <w:spacing w:line="360" w:lineRule="auto"/>
        <w:ind w:left="786"/>
        <w:jc w:val="right"/>
        <w:rPr>
          <w:rFonts w:hint="eastAsia" w:ascii="宋体" w:hAnsi="宋体" w:eastAsia="宋体" w:cs="宋体"/>
          <w:color w:val="auto"/>
          <w:sz w:val="21"/>
          <w:szCs w:val="21"/>
          <w:highlight w:val="none"/>
        </w:rPr>
      </w:pPr>
    </w:p>
    <w:p w14:paraId="73D8C84C">
      <w:pPr>
        <w:pStyle w:val="2"/>
        <w:spacing w:line="360" w:lineRule="auto"/>
        <w:jc w:val="center"/>
        <w:rPr>
          <w:rFonts w:hint="eastAsia" w:ascii="宋体" w:hAnsi="宋体" w:eastAsia="宋体" w:cs="宋体"/>
          <w:color w:val="auto"/>
          <w:sz w:val="32"/>
          <w:szCs w:val="21"/>
          <w:highlight w:val="none"/>
        </w:rPr>
      </w:pPr>
      <w:bookmarkStart w:id="67" w:name="_Toc11081117"/>
      <w:bookmarkStart w:id="68" w:name="_Toc11587"/>
      <w:bookmarkStart w:id="69" w:name="_Toc362441699"/>
      <w:bookmarkStart w:id="70" w:name="_Toc481596018"/>
      <w:bookmarkStart w:id="71" w:name="_Toc26033"/>
      <w:r>
        <w:rPr>
          <w:rFonts w:hint="eastAsia" w:ascii="宋体" w:hAnsi="宋体" w:eastAsia="宋体" w:cs="宋体"/>
          <w:color w:val="auto"/>
          <w:sz w:val="32"/>
          <w:szCs w:val="21"/>
          <w:highlight w:val="none"/>
        </w:rPr>
        <w:t>确认回执</w:t>
      </w:r>
      <w:bookmarkEnd w:id="67"/>
      <w:bookmarkEnd w:id="68"/>
      <w:bookmarkEnd w:id="69"/>
      <w:bookmarkEnd w:id="70"/>
      <w:bookmarkEnd w:id="71"/>
    </w:p>
    <w:p w14:paraId="5E88F3E8">
      <w:pPr>
        <w:spacing w:line="360" w:lineRule="auto"/>
        <w:rPr>
          <w:rFonts w:hint="eastAsia" w:ascii="宋体" w:hAnsi="宋体" w:eastAsia="宋体" w:cs="宋体"/>
          <w:color w:val="auto"/>
          <w:sz w:val="21"/>
          <w:szCs w:val="21"/>
          <w:highlight w:val="none"/>
        </w:rPr>
      </w:pPr>
    </w:p>
    <w:p w14:paraId="4702057D">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lang w:val="en-US" w:eastAsia="zh-CN"/>
        </w:rPr>
        <w:t>深圳市大族数控科技股份有限公司</w:t>
      </w:r>
    </w:p>
    <w:p w14:paraId="33997011">
      <w:pPr>
        <w:spacing w:line="360" w:lineRule="auto"/>
        <w:ind w:firstLine="482"/>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经我司研究，决定</w:t>
      </w:r>
      <w:r>
        <w:rPr>
          <w:rFonts w:hint="eastAsia" w:ascii="宋体" w:hAnsi="宋体" w:eastAsia="宋体" w:cs="宋体"/>
          <w:color w:val="auto"/>
          <w:szCs w:val="21"/>
          <w:highlight w:val="none"/>
          <w:u w:val="single"/>
        </w:rPr>
        <w:t>参与（不参与）</w:t>
      </w:r>
      <w:r>
        <w:rPr>
          <w:rFonts w:hint="eastAsia" w:ascii="宋体" w:hAnsi="宋体" w:eastAsia="宋体" w:cs="宋体"/>
          <w:color w:val="auto"/>
          <w:szCs w:val="21"/>
          <w:highlight w:val="none"/>
        </w:rPr>
        <w:t>贵司</w:t>
      </w:r>
      <w:r>
        <w:rPr>
          <w:rFonts w:hint="eastAsia" w:hAnsi="宋体" w:cs="宋体"/>
          <w:color w:val="auto"/>
          <w:szCs w:val="21"/>
          <w:highlight w:val="none"/>
          <w:u w:val="single"/>
          <w:lang w:val="en-US" w:eastAsia="zh-CN"/>
        </w:rPr>
        <w:t>亚创</w:t>
      </w:r>
      <w:r>
        <w:rPr>
          <w:rFonts w:hint="eastAsia" w:ascii="宋体" w:hAnsi="宋体" w:eastAsia="宋体" w:cs="宋体"/>
          <w:color w:val="auto"/>
          <w:szCs w:val="21"/>
          <w:highlight w:val="none"/>
          <w:u w:val="single"/>
          <w:lang w:val="en-US" w:eastAsia="zh-CN"/>
        </w:rPr>
        <w:t>研究院实验室家具</w:t>
      </w:r>
      <w:r>
        <w:rPr>
          <w:rFonts w:hint="eastAsia" w:ascii="宋体" w:hAnsi="宋体" w:eastAsia="宋体" w:cs="宋体"/>
          <w:color w:val="auto"/>
          <w:szCs w:val="21"/>
          <w:highlight w:val="none"/>
          <w:u w:val="single"/>
          <w:lang w:eastAsia="zh-CN"/>
        </w:rPr>
        <w:t>采购及安装工程</w:t>
      </w:r>
      <w:r>
        <w:rPr>
          <w:rFonts w:hint="eastAsia" w:ascii="宋体" w:hAnsi="宋体" w:eastAsia="宋体" w:cs="宋体"/>
          <w:color w:val="auto"/>
          <w:szCs w:val="21"/>
          <w:highlight w:val="none"/>
        </w:rPr>
        <w:t>投标。同时，我司郑重承诺，我司将秉持公正、诚信的态度，按专项资格预审要求组织最精干人员全程参与贵司项目的投标工作，并严格遵守贵司的招标纪律和积极响应贵司的招标需求。</w:t>
      </w:r>
    </w:p>
    <w:p w14:paraId="206D05F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特此复函！</w:t>
      </w:r>
    </w:p>
    <w:p w14:paraId="118B44CE">
      <w:pPr>
        <w:spacing w:line="360" w:lineRule="auto"/>
        <w:rPr>
          <w:rFonts w:hint="eastAsia" w:ascii="宋体" w:hAnsi="宋体" w:eastAsia="宋体" w:cs="宋体"/>
          <w:color w:val="auto"/>
          <w:sz w:val="21"/>
          <w:szCs w:val="21"/>
          <w:highlight w:val="none"/>
        </w:rPr>
      </w:pPr>
    </w:p>
    <w:p w14:paraId="26DB456A">
      <w:pPr>
        <w:tabs>
          <w:tab w:val="left" w:pos="1440"/>
        </w:tabs>
        <w:wordWrap w:val="0"/>
        <w:spacing w:line="360" w:lineRule="auto"/>
        <w:ind w:left="786"/>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投标人：                        </w:t>
      </w:r>
    </w:p>
    <w:p w14:paraId="4502BE49">
      <w:pPr>
        <w:tabs>
          <w:tab w:val="left" w:pos="1440"/>
        </w:tabs>
        <w:wordWrap w:val="0"/>
        <w:spacing w:line="360" w:lineRule="auto"/>
        <w:ind w:left="786"/>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  期：        年     月     日</w:t>
      </w:r>
    </w:p>
    <w:p w14:paraId="154ADB00">
      <w:pPr>
        <w:spacing w:line="360" w:lineRule="auto"/>
        <w:jc w:val="center"/>
        <w:rPr>
          <w:rFonts w:hint="eastAsia" w:ascii="宋体" w:hAnsi="宋体" w:eastAsia="宋体" w:cs="宋体"/>
          <w:color w:val="auto"/>
          <w:sz w:val="21"/>
          <w:szCs w:val="21"/>
          <w:highlight w:val="none"/>
        </w:rPr>
      </w:pPr>
    </w:p>
    <w:p w14:paraId="73C058BA">
      <w:pPr>
        <w:spacing w:line="360" w:lineRule="auto"/>
        <w:jc w:val="center"/>
        <w:rPr>
          <w:rFonts w:hint="eastAsia" w:ascii="宋体" w:hAnsi="宋体" w:eastAsia="宋体" w:cs="宋体"/>
          <w:color w:val="auto"/>
          <w:sz w:val="21"/>
          <w:szCs w:val="21"/>
          <w:highlight w:val="none"/>
        </w:rPr>
      </w:pPr>
    </w:p>
    <w:p w14:paraId="3518CD95">
      <w:pPr>
        <w:spacing w:line="360" w:lineRule="auto"/>
        <w:jc w:val="center"/>
        <w:rPr>
          <w:rFonts w:hint="eastAsia" w:ascii="宋体" w:hAnsi="宋体" w:eastAsia="宋体" w:cs="宋体"/>
          <w:color w:val="auto"/>
          <w:sz w:val="21"/>
          <w:szCs w:val="21"/>
          <w:highlight w:val="none"/>
        </w:rPr>
      </w:pPr>
    </w:p>
    <w:p w14:paraId="1393AA45">
      <w:pPr>
        <w:spacing w:line="360" w:lineRule="auto"/>
        <w:jc w:val="center"/>
        <w:rPr>
          <w:rFonts w:hint="eastAsia" w:ascii="宋体" w:hAnsi="宋体" w:eastAsia="宋体" w:cs="宋体"/>
          <w:color w:val="auto"/>
          <w:sz w:val="21"/>
          <w:szCs w:val="21"/>
          <w:highlight w:val="none"/>
        </w:rPr>
      </w:pPr>
    </w:p>
    <w:p w14:paraId="22F7C414">
      <w:pPr>
        <w:spacing w:line="360" w:lineRule="auto"/>
        <w:jc w:val="center"/>
        <w:rPr>
          <w:rFonts w:hint="eastAsia" w:ascii="宋体" w:hAnsi="宋体" w:eastAsia="宋体" w:cs="宋体"/>
          <w:color w:val="auto"/>
          <w:sz w:val="21"/>
          <w:szCs w:val="21"/>
          <w:highlight w:val="none"/>
        </w:rPr>
      </w:pPr>
    </w:p>
    <w:p w14:paraId="1629F0C9">
      <w:pPr>
        <w:spacing w:line="360" w:lineRule="auto"/>
        <w:jc w:val="center"/>
        <w:rPr>
          <w:rFonts w:hint="eastAsia" w:ascii="宋体" w:hAnsi="宋体" w:eastAsia="宋体" w:cs="宋体"/>
          <w:color w:val="auto"/>
          <w:sz w:val="21"/>
          <w:szCs w:val="21"/>
          <w:highlight w:val="none"/>
        </w:rPr>
      </w:pPr>
    </w:p>
    <w:p w14:paraId="6207075D">
      <w:pPr>
        <w:spacing w:line="360" w:lineRule="auto"/>
        <w:jc w:val="center"/>
        <w:rPr>
          <w:rFonts w:hint="eastAsia" w:ascii="宋体" w:hAnsi="宋体" w:eastAsia="宋体" w:cs="宋体"/>
          <w:color w:val="auto"/>
          <w:sz w:val="21"/>
          <w:szCs w:val="21"/>
          <w:highlight w:val="none"/>
        </w:rPr>
      </w:pPr>
    </w:p>
    <w:p w14:paraId="42B26B67">
      <w:pPr>
        <w:spacing w:line="360" w:lineRule="auto"/>
        <w:jc w:val="center"/>
        <w:rPr>
          <w:rFonts w:hint="eastAsia" w:ascii="宋体" w:hAnsi="宋体" w:eastAsia="宋体" w:cs="宋体"/>
          <w:color w:val="auto"/>
          <w:sz w:val="21"/>
          <w:szCs w:val="21"/>
          <w:highlight w:val="none"/>
        </w:rPr>
      </w:pPr>
    </w:p>
    <w:p w14:paraId="51CF287B">
      <w:pPr>
        <w:spacing w:line="360" w:lineRule="auto"/>
        <w:jc w:val="center"/>
        <w:rPr>
          <w:rFonts w:hint="eastAsia" w:ascii="宋体" w:hAnsi="宋体" w:eastAsia="宋体" w:cs="宋体"/>
          <w:color w:val="auto"/>
          <w:sz w:val="21"/>
          <w:szCs w:val="21"/>
          <w:highlight w:val="none"/>
        </w:rPr>
      </w:pPr>
    </w:p>
    <w:p w14:paraId="1350DD43">
      <w:pPr>
        <w:spacing w:line="360" w:lineRule="auto"/>
        <w:jc w:val="center"/>
        <w:rPr>
          <w:rFonts w:hint="eastAsia" w:ascii="宋体" w:hAnsi="宋体" w:eastAsia="宋体" w:cs="宋体"/>
          <w:color w:val="auto"/>
          <w:sz w:val="21"/>
          <w:szCs w:val="21"/>
          <w:highlight w:val="none"/>
        </w:rPr>
      </w:pPr>
    </w:p>
    <w:p w14:paraId="2045205E">
      <w:pPr>
        <w:spacing w:line="360" w:lineRule="auto"/>
        <w:jc w:val="center"/>
        <w:rPr>
          <w:rFonts w:hint="eastAsia" w:ascii="宋体" w:hAnsi="宋体" w:eastAsia="宋体" w:cs="宋体"/>
          <w:color w:val="auto"/>
          <w:sz w:val="21"/>
          <w:szCs w:val="21"/>
          <w:highlight w:val="none"/>
        </w:rPr>
      </w:pPr>
    </w:p>
    <w:p w14:paraId="16F78580">
      <w:pPr>
        <w:spacing w:line="360" w:lineRule="auto"/>
        <w:jc w:val="center"/>
        <w:rPr>
          <w:rFonts w:hint="eastAsia" w:ascii="宋体" w:hAnsi="宋体" w:eastAsia="宋体" w:cs="宋体"/>
          <w:color w:val="auto"/>
          <w:sz w:val="21"/>
          <w:szCs w:val="21"/>
          <w:highlight w:val="none"/>
        </w:rPr>
      </w:pPr>
    </w:p>
    <w:p w14:paraId="30C940B0">
      <w:pPr>
        <w:spacing w:line="360" w:lineRule="auto"/>
        <w:jc w:val="center"/>
        <w:rPr>
          <w:rFonts w:hint="eastAsia" w:ascii="宋体" w:hAnsi="宋体" w:eastAsia="宋体" w:cs="宋体"/>
          <w:color w:val="auto"/>
          <w:sz w:val="21"/>
          <w:szCs w:val="21"/>
          <w:highlight w:val="none"/>
        </w:rPr>
      </w:pPr>
    </w:p>
    <w:p w14:paraId="33C37AD4">
      <w:pPr>
        <w:spacing w:line="360" w:lineRule="auto"/>
        <w:jc w:val="center"/>
        <w:rPr>
          <w:rFonts w:hint="eastAsia" w:ascii="宋体" w:hAnsi="宋体" w:eastAsia="宋体" w:cs="宋体"/>
          <w:color w:val="auto"/>
          <w:sz w:val="21"/>
          <w:szCs w:val="21"/>
          <w:highlight w:val="none"/>
        </w:rPr>
      </w:pPr>
    </w:p>
    <w:p w14:paraId="6D4BD727">
      <w:pPr>
        <w:spacing w:line="360" w:lineRule="auto"/>
        <w:jc w:val="center"/>
        <w:rPr>
          <w:rFonts w:hint="eastAsia" w:ascii="宋体" w:hAnsi="宋体" w:eastAsia="宋体" w:cs="宋体"/>
          <w:color w:val="auto"/>
          <w:sz w:val="21"/>
          <w:szCs w:val="21"/>
          <w:highlight w:val="none"/>
        </w:rPr>
      </w:pPr>
    </w:p>
    <w:p w14:paraId="1189DF98">
      <w:pPr>
        <w:spacing w:line="360" w:lineRule="auto"/>
        <w:jc w:val="center"/>
        <w:rPr>
          <w:rFonts w:hint="eastAsia" w:ascii="宋体" w:hAnsi="宋体" w:eastAsia="宋体" w:cs="宋体"/>
          <w:color w:val="auto"/>
          <w:sz w:val="21"/>
          <w:szCs w:val="21"/>
          <w:highlight w:val="none"/>
        </w:rPr>
      </w:pPr>
    </w:p>
    <w:p w14:paraId="71537766">
      <w:pPr>
        <w:spacing w:line="360" w:lineRule="auto"/>
        <w:jc w:val="center"/>
        <w:rPr>
          <w:rFonts w:hint="eastAsia" w:ascii="宋体" w:hAnsi="宋体" w:eastAsia="宋体" w:cs="宋体"/>
          <w:color w:val="auto"/>
          <w:sz w:val="21"/>
          <w:szCs w:val="21"/>
          <w:highlight w:val="none"/>
        </w:rPr>
      </w:pPr>
    </w:p>
    <w:p w14:paraId="2A187233">
      <w:pPr>
        <w:spacing w:line="360" w:lineRule="auto"/>
        <w:jc w:val="center"/>
        <w:rPr>
          <w:rFonts w:hint="eastAsia" w:ascii="宋体" w:hAnsi="宋体" w:eastAsia="宋体" w:cs="宋体"/>
          <w:color w:val="auto"/>
          <w:sz w:val="21"/>
          <w:szCs w:val="21"/>
          <w:highlight w:val="none"/>
        </w:rPr>
      </w:pPr>
    </w:p>
    <w:p w14:paraId="06E1E8F8">
      <w:pPr>
        <w:spacing w:line="360" w:lineRule="auto"/>
        <w:jc w:val="center"/>
        <w:rPr>
          <w:rFonts w:hint="eastAsia" w:ascii="宋体" w:hAnsi="宋体" w:eastAsia="宋体" w:cs="宋体"/>
          <w:color w:val="auto"/>
          <w:sz w:val="21"/>
          <w:szCs w:val="21"/>
          <w:highlight w:val="none"/>
        </w:rPr>
      </w:pPr>
    </w:p>
    <w:p w14:paraId="23B32ECA">
      <w:pPr>
        <w:spacing w:line="360" w:lineRule="auto"/>
        <w:rPr>
          <w:rFonts w:hint="eastAsia" w:ascii="宋体" w:hAnsi="宋体" w:eastAsia="宋体" w:cs="宋体"/>
          <w:color w:val="auto"/>
          <w:sz w:val="21"/>
          <w:szCs w:val="21"/>
          <w:highlight w:val="none"/>
        </w:rPr>
      </w:pPr>
    </w:p>
    <w:p w14:paraId="2C16B3CE">
      <w:pPr>
        <w:pStyle w:val="2"/>
        <w:spacing w:line="360" w:lineRule="auto"/>
        <w:jc w:val="center"/>
        <w:rPr>
          <w:rFonts w:hint="eastAsia" w:ascii="宋体" w:hAnsi="宋体" w:eastAsia="宋体" w:cs="宋体"/>
          <w:color w:val="auto"/>
          <w:sz w:val="32"/>
          <w:szCs w:val="21"/>
          <w:highlight w:val="none"/>
        </w:rPr>
      </w:pPr>
      <w:bookmarkStart w:id="72" w:name="_Toc26507"/>
      <w:bookmarkStart w:id="73" w:name="_Toc481596019"/>
      <w:bookmarkStart w:id="74" w:name="_Toc11081118"/>
      <w:bookmarkStart w:id="75" w:name="_Toc15607"/>
      <w:bookmarkStart w:id="76" w:name="_Toc204048401"/>
      <w:r>
        <w:rPr>
          <w:rFonts w:hint="eastAsia" w:ascii="宋体" w:hAnsi="宋体" w:eastAsia="宋体" w:cs="宋体"/>
          <w:color w:val="auto"/>
          <w:sz w:val="32"/>
          <w:szCs w:val="21"/>
          <w:highlight w:val="none"/>
        </w:rPr>
        <w:t>投标须知前附表</w:t>
      </w:r>
      <w:bookmarkEnd w:id="72"/>
      <w:bookmarkEnd w:id="73"/>
      <w:bookmarkEnd w:id="74"/>
      <w:bookmarkEnd w:id="75"/>
    </w:p>
    <w:tbl>
      <w:tblPr>
        <w:tblStyle w:val="40"/>
        <w:tblW w:w="96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747"/>
        <w:gridCol w:w="7178"/>
      </w:tblGrid>
      <w:tr w14:paraId="5E2DF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19" w:type="dxa"/>
            <w:vAlign w:val="center"/>
          </w:tcPr>
          <w:p w14:paraId="7DFCB70E">
            <w:pPr>
              <w:spacing w:line="30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747" w:type="dxa"/>
            <w:vAlign w:val="center"/>
          </w:tcPr>
          <w:p w14:paraId="63079064">
            <w:pPr>
              <w:spacing w:line="30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内容</w:t>
            </w:r>
          </w:p>
        </w:tc>
        <w:tc>
          <w:tcPr>
            <w:tcW w:w="7178" w:type="dxa"/>
            <w:vAlign w:val="center"/>
          </w:tcPr>
          <w:p w14:paraId="343B335B">
            <w:pPr>
              <w:tabs>
                <w:tab w:val="left" w:pos="1180"/>
              </w:tabs>
              <w:spacing w:line="30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说明与要求</w:t>
            </w:r>
          </w:p>
        </w:tc>
      </w:tr>
      <w:tr w14:paraId="4AADD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19" w:type="dxa"/>
            <w:vAlign w:val="center"/>
          </w:tcPr>
          <w:p w14:paraId="24F11065">
            <w:pPr>
              <w:spacing w:line="30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747" w:type="dxa"/>
            <w:vAlign w:val="center"/>
          </w:tcPr>
          <w:p w14:paraId="4F0EB620">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w:t>
            </w:r>
          </w:p>
        </w:tc>
        <w:tc>
          <w:tcPr>
            <w:tcW w:w="7178" w:type="dxa"/>
            <w:vAlign w:val="center"/>
          </w:tcPr>
          <w:p w14:paraId="026DD5C0">
            <w:pPr>
              <w:spacing w:line="300" w:lineRule="auto"/>
              <w:rPr>
                <w:rFonts w:hint="eastAsia" w:ascii="宋体" w:hAnsi="宋体" w:eastAsia="宋体" w:cs="宋体"/>
                <w:b/>
                <w:color w:val="auto"/>
                <w:sz w:val="21"/>
                <w:szCs w:val="21"/>
                <w:highlight w:val="none"/>
              </w:rPr>
            </w:pPr>
            <w:r>
              <w:rPr>
                <w:rFonts w:hint="eastAsia" w:hAnsi="宋体" w:cs="宋体"/>
                <w:color w:val="auto"/>
                <w:szCs w:val="21"/>
                <w:highlight w:val="none"/>
                <w:u w:val="none"/>
                <w:lang w:val="en-US" w:eastAsia="zh-CN"/>
              </w:rPr>
              <w:t>亚创</w:t>
            </w:r>
            <w:r>
              <w:rPr>
                <w:rFonts w:hint="eastAsia" w:ascii="宋体" w:hAnsi="宋体" w:eastAsia="宋体" w:cs="宋体"/>
                <w:color w:val="auto"/>
                <w:szCs w:val="21"/>
                <w:highlight w:val="none"/>
                <w:u w:val="none"/>
                <w:lang w:val="en-US" w:eastAsia="zh-CN"/>
              </w:rPr>
              <w:t>研究院实验室家具</w:t>
            </w:r>
            <w:r>
              <w:rPr>
                <w:rFonts w:hint="eastAsia" w:ascii="宋体" w:hAnsi="宋体" w:eastAsia="宋体" w:cs="宋体"/>
                <w:color w:val="auto"/>
                <w:szCs w:val="21"/>
                <w:highlight w:val="none"/>
                <w:u w:val="none"/>
                <w:lang w:eastAsia="zh-CN"/>
              </w:rPr>
              <w:t>采购及安装工程</w:t>
            </w:r>
          </w:p>
        </w:tc>
      </w:tr>
      <w:tr w14:paraId="0A500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19" w:type="dxa"/>
            <w:vAlign w:val="center"/>
          </w:tcPr>
          <w:p w14:paraId="0B37CDA3">
            <w:pPr>
              <w:spacing w:line="30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747" w:type="dxa"/>
            <w:vAlign w:val="center"/>
          </w:tcPr>
          <w:p w14:paraId="76D88D66">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建设地点</w:t>
            </w:r>
          </w:p>
        </w:tc>
        <w:tc>
          <w:tcPr>
            <w:tcW w:w="7178" w:type="dxa"/>
            <w:vAlign w:val="center"/>
          </w:tcPr>
          <w:p w14:paraId="6CB5822E">
            <w:pPr>
              <w:spacing w:line="30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深圳市</w:t>
            </w:r>
            <w:r>
              <w:rPr>
                <w:rFonts w:hint="eastAsia" w:ascii="宋体" w:hAnsi="宋体" w:eastAsia="宋体" w:cs="宋体"/>
                <w:color w:val="auto"/>
                <w:sz w:val="21"/>
                <w:szCs w:val="21"/>
                <w:highlight w:val="none"/>
                <w:lang w:val="en-US" w:eastAsia="zh-CN"/>
              </w:rPr>
              <w:t>宝安区富桥工业区北侧</w:t>
            </w:r>
          </w:p>
        </w:tc>
      </w:tr>
      <w:tr w14:paraId="5C59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19" w:type="dxa"/>
            <w:vAlign w:val="center"/>
          </w:tcPr>
          <w:p w14:paraId="2404FDB8">
            <w:pPr>
              <w:spacing w:line="30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c>
          <w:tcPr>
            <w:tcW w:w="1747" w:type="dxa"/>
            <w:vAlign w:val="center"/>
          </w:tcPr>
          <w:p w14:paraId="6E86511C">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招标范围</w:t>
            </w:r>
          </w:p>
        </w:tc>
        <w:tc>
          <w:tcPr>
            <w:tcW w:w="7178" w:type="dxa"/>
            <w:vAlign w:val="center"/>
          </w:tcPr>
          <w:p w14:paraId="31E29423">
            <w:pPr>
              <w:autoSpaceDE w:val="0"/>
              <w:autoSpaceDN w:val="0"/>
              <w:spacing w:line="30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亚创研究院实验室家具采购及安装</w:t>
            </w:r>
            <w:r>
              <w:rPr>
                <w:rFonts w:hint="eastAsia" w:hAnsi="宋体" w:cs="宋体"/>
                <w:color w:val="auto"/>
                <w:sz w:val="21"/>
                <w:szCs w:val="21"/>
                <w:highlight w:val="none"/>
                <w:lang w:val="en-US" w:eastAsia="zh-CN"/>
              </w:rPr>
              <w:t>工程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具体详见招标图及《招标清单》所列家具明细。</w:t>
            </w:r>
          </w:p>
        </w:tc>
      </w:tr>
      <w:tr w14:paraId="37808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719" w:type="dxa"/>
            <w:vAlign w:val="center"/>
          </w:tcPr>
          <w:p w14:paraId="11D6AE41">
            <w:pPr>
              <w:spacing w:line="300" w:lineRule="auto"/>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4</w:t>
            </w:r>
          </w:p>
        </w:tc>
        <w:tc>
          <w:tcPr>
            <w:tcW w:w="1747" w:type="dxa"/>
            <w:vAlign w:val="center"/>
          </w:tcPr>
          <w:p w14:paraId="73E79E2B">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工期要求</w:t>
            </w:r>
          </w:p>
        </w:tc>
        <w:tc>
          <w:tcPr>
            <w:tcW w:w="7178" w:type="dxa"/>
            <w:vAlign w:val="center"/>
          </w:tcPr>
          <w:p w14:paraId="114445F7">
            <w:pPr>
              <w:widowControl/>
              <w:tabs>
                <w:tab w:val="left" w:pos="1701"/>
              </w:tabs>
              <w:autoSpaceDE w:val="0"/>
              <w:autoSpaceDN w:val="0"/>
              <w:spacing w:line="30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 xml:space="preserve">  </w:t>
            </w:r>
            <w:r>
              <w:rPr>
                <w:rFonts w:hint="eastAsia" w:hAnsi="宋体" w:cs="宋体"/>
                <w:b/>
                <w:bCs/>
                <w:color w:val="auto"/>
                <w:sz w:val="21"/>
                <w:szCs w:val="21"/>
                <w:highlight w:val="none"/>
                <w:lang w:val="en-US" w:eastAsia="zh-CN"/>
              </w:rPr>
              <w:t>32</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日历天</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其中：</w:t>
            </w:r>
          </w:p>
          <w:p w14:paraId="64BA312C">
            <w:pPr>
              <w:widowControl/>
              <w:tabs>
                <w:tab w:val="left" w:pos="1701"/>
              </w:tabs>
              <w:autoSpaceDE w:val="0"/>
              <w:autoSpaceDN w:val="0"/>
              <w:spacing w:line="30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 xml:space="preserve">（1）家具生产： </w:t>
            </w:r>
            <w:r>
              <w:rPr>
                <w:rFonts w:hint="eastAsia"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val="en-US" w:eastAsia="zh-CN"/>
              </w:rPr>
              <w:t>5 天；</w:t>
            </w:r>
          </w:p>
          <w:p w14:paraId="17ABDE6B">
            <w:pPr>
              <w:widowControl/>
              <w:tabs>
                <w:tab w:val="left" w:pos="1701"/>
              </w:tabs>
              <w:autoSpaceDE w:val="0"/>
              <w:autoSpaceDN w:val="0"/>
              <w:spacing w:line="30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 xml:space="preserve">（2）安装调试： </w:t>
            </w:r>
            <w:r>
              <w:rPr>
                <w:rFonts w:hint="eastAsia" w:hAnsi="宋体" w:cs="宋体"/>
                <w:b/>
                <w:bCs/>
                <w:color w:val="auto"/>
                <w:sz w:val="21"/>
                <w:szCs w:val="21"/>
                <w:highlight w:val="none"/>
                <w:lang w:val="en-US" w:eastAsia="zh-CN"/>
              </w:rPr>
              <w:t xml:space="preserve"> 7</w:t>
            </w:r>
            <w:r>
              <w:rPr>
                <w:rFonts w:hint="eastAsia" w:ascii="宋体" w:hAnsi="宋体" w:eastAsia="宋体" w:cs="宋体"/>
                <w:b/>
                <w:bCs/>
                <w:color w:val="auto"/>
                <w:sz w:val="21"/>
                <w:szCs w:val="21"/>
                <w:highlight w:val="none"/>
                <w:lang w:val="en-US" w:eastAsia="zh-CN"/>
              </w:rPr>
              <w:t xml:space="preserve"> 天。</w:t>
            </w:r>
          </w:p>
        </w:tc>
      </w:tr>
      <w:tr w14:paraId="28238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19" w:type="dxa"/>
            <w:tcBorders>
              <w:bottom w:val="single" w:color="auto" w:sz="4" w:space="0"/>
            </w:tcBorders>
            <w:vAlign w:val="center"/>
          </w:tcPr>
          <w:p w14:paraId="57BC0ECA">
            <w:pPr>
              <w:spacing w:line="300" w:lineRule="auto"/>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5</w:t>
            </w:r>
          </w:p>
        </w:tc>
        <w:tc>
          <w:tcPr>
            <w:tcW w:w="1747" w:type="dxa"/>
            <w:vAlign w:val="center"/>
          </w:tcPr>
          <w:p w14:paraId="64904674">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质量要求</w:t>
            </w:r>
          </w:p>
        </w:tc>
        <w:tc>
          <w:tcPr>
            <w:tcW w:w="7178" w:type="dxa"/>
            <w:vAlign w:val="center"/>
          </w:tcPr>
          <w:p w14:paraId="0DEBBFA3">
            <w:pPr>
              <w:tabs>
                <w:tab w:val="left" w:pos="1406"/>
              </w:tabs>
              <w:spacing w:line="360" w:lineRule="auto"/>
              <w:jc w:val="both"/>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实验室</w:t>
            </w:r>
            <w:r>
              <w:rPr>
                <w:rFonts w:hint="eastAsia" w:ascii="宋体" w:hAnsi="宋体" w:eastAsia="宋体" w:cs="宋体"/>
                <w:color w:val="auto"/>
                <w:sz w:val="21"/>
                <w:szCs w:val="21"/>
                <w:highlight w:val="none"/>
                <w:lang w:val="en-US" w:eastAsia="zh-CN"/>
              </w:rPr>
              <w:t>家具质保</w:t>
            </w:r>
            <w:r>
              <w:rPr>
                <w:rFonts w:hint="eastAsia" w:hAnsi="宋体" w:cs="宋体"/>
                <w:color w:val="auto"/>
                <w:sz w:val="21"/>
                <w:szCs w:val="21"/>
                <w:highlight w:val="none"/>
                <w:lang w:val="en-US" w:eastAsia="zh-CN"/>
              </w:rPr>
              <w:t>期</w:t>
            </w:r>
            <w:r>
              <w:rPr>
                <w:rFonts w:hint="eastAsia" w:ascii="宋体" w:hAnsi="宋体" w:eastAsia="宋体" w:cs="宋体"/>
                <w:b/>
                <w:bCs/>
                <w:color w:val="auto"/>
                <w:sz w:val="21"/>
                <w:szCs w:val="21"/>
                <w:highlight w:val="none"/>
                <w:lang w:val="en-US" w:eastAsia="zh-CN"/>
              </w:rPr>
              <w:t>2年</w:t>
            </w:r>
            <w:r>
              <w:rPr>
                <w:rFonts w:hint="eastAsia" w:hAnsi="宋体" w:cs="宋体"/>
                <w:color w:val="auto"/>
                <w:sz w:val="21"/>
                <w:szCs w:val="21"/>
                <w:highlight w:val="none"/>
                <w:lang w:val="en-US" w:eastAsia="zh-CN"/>
              </w:rPr>
              <w:t>。</w:t>
            </w:r>
          </w:p>
        </w:tc>
      </w:tr>
      <w:tr w14:paraId="506B0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19" w:type="dxa"/>
            <w:vAlign w:val="center"/>
          </w:tcPr>
          <w:p w14:paraId="771DDC59">
            <w:pPr>
              <w:spacing w:line="300" w:lineRule="auto"/>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6</w:t>
            </w:r>
          </w:p>
        </w:tc>
        <w:tc>
          <w:tcPr>
            <w:tcW w:w="1747" w:type="dxa"/>
            <w:vAlign w:val="center"/>
          </w:tcPr>
          <w:p w14:paraId="4F9B301A">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标段划分</w:t>
            </w:r>
          </w:p>
        </w:tc>
        <w:tc>
          <w:tcPr>
            <w:tcW w:w="7178" w:type="dxa"/>
            <w:vAlign w:val="center"/>
          </w:tcPr>
          <w:p w14:paraId="0F913355">
            <w:pPr>
              <w:snapToGrid w:val="0"/>
              <w:spacing w:line="30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本项目不分标段</w:t>
            </w:r>
          </w:p>
        </w:tc>
      </w:tr>
      <w:tr w14:paraId="57AE7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19" w:type="dxa"/>
            <w:vAlign w:val="center"/>
          </w:tcPr>
          <w:p w14:paraId="360CE849">
            <w:pPr>
              <w:spacing w:line="300" w:lineRule="auto"/>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7</w:t>
            </w:r>
          </w:p>
        </w:tc>
        <w:tc>
          <w:tcPr>
            <w:tcW w:w="1747" w:type="dxa"/>
            <w:vAlign w:val="center"/>
          </w:tcPr>
          <w:p w14:paraId="28381AFA">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计价方式</w:t>
            </w:r>
          </w:p>
        </w:tc>
        <w:tc>
          <w:tcPr>
            <w:tcW w:w="7178" w:type="dxa"/>
            <w:vAlign w:val="center"/>
          </w:tcPr>
          <w:p w14:paraId="0B6FB63A">
            <w:pPr>
              <w:spacing w:line="30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rPr>
              <w:t>固定综合单价、暂定总价</w:t>
            </w:r>
          </w:p>
        </w:tc>
      </w:tr>
      <w:tr w14:paraId="5BC1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Align w:val="center"/>
          </w:tcPr>
          <w:p w14:paraId="5AB97EB7">
            <w:pPr>
              <w:spacing w:line="300" w:lineRule="auto"/>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8</w:t>
            </w:r>
          </w:p>
        </w:tc>
        <w:tc>
          <w:tcPr>
            <w:tcW w:w="1747" w:type="dxa"/>
            <w:vAlign w:val="center"/>
          </w:tcPr>
          <w:p w14:paraId="193F0F3F">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7178" w:type="dxa"/>
            <w:vAlign w:val="center"/>
          </w:tcPr>
          <w:p w14:paraId="0D1F19FB">
            <w:pPr>
              <w:widowControl/>
              <w:tabs>
                <w:tab w:val="left" w:pos="1701"/>
              </w:tabs>
              <w:autoSpaceDE w:val="0"/>
              <w:autoSpaceDN w:val="0"/>
              <w:spacing w:line="300" w:lineRule="auto"/>
              <w:rPr>
                <w:rFonts w:hint="eastAsia" w:hAnsi="宋体" w:cs="宋体"/>
                <w:b/>
                <w:bCs/>
                <w:color w:val="auto"/>
                <w:sz w:val="21"/>
                <w:szCs w:val="21"/>
                <w:highlight w:val="none"/>
                <w:lang w:val="en-US" w:eastAsia="zh-CN"/>
              </w:rPr>
            </w:pPr>
            <w:r>
              <w:rPr>
                <w:rFonts w:hint="eastAsia" w:hAnsi="宋体" w:cs="宋体"/>
                <w:b/>
                <w:bCs/>
                <w:color w:val="auto"/>
                <w:sz w:val="21"/>
                <w:szCs w:val="21"/>
                <w:highlight w:val="none"/>
                <w:lang w:val="en-US" w:eastAsia="zh-CN"/>
              </w:rPr>
              <w:t>（1）全部家具安装调试验收合格、双方完成结算，且乙方付款资料齐全后 20 个工作日内，甲方向乙方支付至结算总价款的 95%，结算总价款剩余 5% 作为质量保证金。</w:t>
            </w:r>
          </w:p>
          <w:p w14:paraId="2BAD80C4">
            <w:pPr>
              <w:widowControl/>
              <w:tabs>
                <w:tab w:val="left" w:pos="1701"/>
              </w:tabs>
              <w:autoSpaceDE w:val="0"/>
              <w:autoSpaceDN w:val="0"/>
              <w:spacing w:line="300" w:lineRule="auto"/>
              <w:rPr>
                <w:rFonts w:hint="eastAsia" w:hAnsi="宋体" w:cs="宋体"/>
                <w:b/>
                <w:bCs/>
                <w:color w:val="auto"/>
                <w:sz w:val="21"/>
                <w:szCs w:val="21"/>
                <w:highlight w:val="none"/>
                <w:lang w:val="en-US" w:eastAsia="zh-CN"/>
              </w:rPr>
            </w:pPr>
            <w:r>
              <w:rPr>
                <w:rFonts w:hint="eastAsia" w:hAnsi="宋体" w:cs="宋体"/>
                <w:b/>
                <w:bCs/>
                <w:color w:val="auto"/>
                <w:sz w:val="21"/>
                <w:szCs w:val="21"/>
                <w:highlight w:val="none"/>
                <w:lang w:val="en-US" w:eastAsia="zh-CN"/>
              </w:rPr>
              <w:t xml:space="preserve">（2）自家具安装调试验收合格之日起【1】年质保期届满，质保期内质量问题均已由乙方整改完毕并经甲方审核认可，乙方提交质量保证金付款申请后【20】个工作日内，甲方无息支付 5% 质量保证金；质保期内产生的维修、赔偿等费用，甲方可直接从质量保证金中予以抵扣，不足部分可向乙方追偿。 </w:t>
            </w:r>
          </w:p>
          <w:p w14:paraId="0EAECF5D">
            <w:pPr>
              <w:widowControl/>
              <w:tabs>
                <w:tab w:val="left" w:pos="1701"/>
              </w:tabs>
              <w:autoSpaceDE w:val="0"/>
              <w:autoSpaceDN w:val="0"/>
              <w:spacing w:line="300" w:lineRule="auto"/>
              <w:rPr>
                <w:rFonts w:hint="eastAsia" w:hAnsi="宋体" w:cs="宋体"/>
                <w:b/>
                <w:bCs/>
                <w:color w:val="auto"/>
                <w:sz w:val="21"/>
                <w:szCs w:val="21"/>
                <w:highlight w:val="none"/>
                <w:lang w:val="en-US" w:eastAsia="zh-CN"/>
              </w:rPr>
            </w:pPr>
            <w:r>
              <w:rPr>
                <w:rFonts w:hint="eastAsia" w:hAnsi="宋体" w:cs="宋体"/>
                <w:b/>
                <w:bCs/>
                <w:color w:val="auto"/>
                <w:sz w:val="21"/>
                <w:szCs w:val="21"/>
                <w:highlight w:val="none"/>
                <w:lang w:val="en-US" w:eastAsia="zh-CN"/>
              </w:rPr>
              <w:t>（3）每次付款前，乙方须开具对应金额 13% 税率的合法有效增值税专用发票，甲方收到合规发票及完整付款资料后按约付款；因乙方发票问题导致付款延迟的，甲方不承担逾期责任。</w:t>
            </w:r>
          </w:p>
        </w:tc>
      </w:tr>
      <w:tr w14:paraId="704FA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9" w:type="dxa"/>
            <w:vAlign w:val="center"/>
          </w:tcPr>
          <w:p w14:paraId="1B4CE19A">
            <w:pPr>
              <w:spacing w:line="300" w:lineRule="auto"/>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9</w:t>
            </w:r>
          </w:p>
        </w:tc>
        <w:tc>
          <w:tcPr>
            <w:tcW w:w="1747" w:type="dxa"/>
            <w:vAlign w:val="center"/>
          </w:tcPr>
          <w:p w14:paraId="6F778252">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材料调差方式</w:t>
            </w:r>
          </w:p>
        </w:tc>
        <w:tc>
          <w:tcPr>
            <w:tcW w:w="7178" w:type="dxa"/>
            <w:vAlign w:val="center"/>
          </w:tcPr>
          <w:p w14:paraId="56CF7887">
            <w:pPr>
              <w:spacing w:line="30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无</w:t>
            </w:r>
          </w:p>
        </w:tc>
      </w:tr>
      <w:tr w14:paraId="79BC3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19" w:type="dxa"/>
            <w:vAlign w:val="center"/>
          </w:tcPr>
          <w:p w14:paraId="3BA82BC6">
            <w:pPr>
              <w:spacing w:line="300" w:lineRule="auto"/>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10</w:t>
            </w:r>
          </w:p>
        </w:tc>
        <w:tc>
          <w:tcPr>
            <w:tcW w:w="1747" w:type="dxa"/>
            <w:vAlign w:val="center"/>
          </w:tcPr>
          <w:p w14:paraId="3DA42478">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招标图纸押金</w:t>
            </w:r>
          </w:p>
        </w:tc>
        <w:tc>
          <w:tcPr>
            <w:tcW w:w="7178" w:type="dxa"/>
            <w:vAlign w:val="center"/>
          </w:tcPr>
          <w:p w14:paraId="5D17EBC1">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本次招标不收取招标图纸押金及招标文件工本费</w:t>
            </w:r>
          </w:p>
        </w:tc>
      </w:tr>
      <w:tr w14:paraId="32E1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719" w:type="dxa"/>
            <w:vAlign w:val="center"/>
          </w:tcPr>
          <w:p w14:paraId="44499AA3">
            <w:pPr>
              <w:spacing w:line="300" w:lineRule="auto"/>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11</w:t>
            </w:r>
          </w:p>
        </w:tc>
        <w:tc>
          <w:tcPr>
            <w:tcW w:w="1747" w:type="dxa"/>
            <w:vAlign w:val="center"/>
          </w:tcPr>
          <w:p w14:paraId="56BE390E">
            <w:pPr>
              <w:spacing w:line="30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招标答疑</w:t>
            </w:r>
          </w:p>
        </w:tc>
        <w:tc>
          <w:tcPr>
            <w:tcW w:w="7178" w:type="dxa"/>
          </w:tcPr>
          <w:p w14:paraId="5A9F9FC2">
            <w:pPr>
              <w:snapToGrid w:val="0"/>
              <w:spacing w:line="30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疑问提出截止时间：</w:t>
            </w:r>
            <w:r>
              <w:rPr>
                <w:rFonts w:hint="eastAsia" w:ascii="宋体" w:hAnsi="宋体" w:eastAsia="宋体" w:cs="宋体"/>
                <w:b/>
                <w:bCs/>
                <w:color w:val="auto"/>
                <w:sz w:val="21"/>
                <w:szCs w:val="21"/>
                <w:highlight w:val="none"/>
                <w:lang w:val="en-US" w:eastAsia="zh-CN"/>
              </w:rPr>
              <w:t xml:space="preserve">2026年 </w:t>
            </w:r>
            <w:r>
              <w:rPr>
                <w:rFonts w:hint="eastAsia"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en-US" w:eastAsia="zh-CN"/>
              </w:rPr>
              <w:t xml:space="preserve">月 </w:t>
            </w:r>
            <w:r>
              <w:rPr>
                <w:rFonts w:hint="eastAsia" w:hAnsi="宋体" w:cs="宋体"/>
                <w:b/>
                <w:bCs/>
                <w:color w:val="auto"/>
                <w:sz w:val="21"/>
                <w:szCs w:val="21"/>
                <w:highlight w:val="none"/>
                <w:lang w:val="en-US" w:eastAsia="zh-CN"/>
              </w:rPr>
              <w:t>20</w:t>
            </w:r>
            <w:r>
              <w:rPr>
                <w:rFonts w:hint="eastAsia" w:ascii="宋体" w:hAnsi="宋体" w:eastAsia="宋体" w:cs="宋体"/>
                <w:b/>
                <w:bCs/>
                <w:color w:val="auto"/>
                <w:sz w:val="21"/>
                <w:szCs w:val="21"/>
                <w:highlight w:val="none"/>
                <w:lang w:val="en-US" w:eastAsia="zh-CN"/>
              </w:rPr>
              <w:t>日  18：00 时前</w:t>
            </w:r>
            <w:r>
              <w:rPr>
                <w:rFonts w:hint="eastAsia" w:ascii="宋体" w:hAnsi="宋体" w:eastAsia="宋体" w:cs="宋体"/>
                <w:b/>
                <w:bCs/>
                <w:color w:val="auto"/>
                <w:sz w:val="21"/>
                <w:szCs w:val="21"/>
                <w:highlight w:val="none"/>
              </w:rPr>
              <w:t>；</w:t>
            </w:r>
          </w:p>
          <w:p w14:paraId="38C0AEDE">
            <w:pPr>
              <w:snapToGrid w:val="0"/>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以电子文件的形式发至招标联系人邮箱，答疑文件格式详见附件《招标答疑格式》。答疑截止时间后，招标人将不再回复任何问题。</w:t>
            </w:r>
          </w:p>
          <w:p w14:paraId="530148DF">
            <w:pPr>
              <w:snapToGrid w:val="0"/>
              <w:spacing w:line="30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招标联系人：</w:t>
            </w:r>
            <w:r>
              <w:rPr>
                <w:rFonts w:hint="eastAsia" w:ascii="宋体" w:hAnsi="宋体" w:eastAsia="宋体" w:cs="宋体"/>
                <w:color w:val="auto"/>
                <w:sz w:val="21"/>
                <w:szCs w:val="21"/>
                <w:highlight w:val="none"/>
                <w:lang w:val="en-US" w:eastAsia="zh-CN"/>
              </w:rPr>
              <w:t xml:space="preserve"> 崔庆华19353406904</w:t>
            </w:r>
            <w:r>
              <w:rPr>
                <w:rFonts w:hint="eastAsia"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 xml:space="preserve">覃菲菲17758601885      </w:t>
            </w:r>
          </w:p>
          <w:p w14:paraId="73558520">
            <w:pPr>
              <w:snapToGrid w:val="0"/>
              <w:spacing w:line="300" w:lineRule="auto"/>
              <w:rPr>
                <w:rFonts w:hint="eastAsia" w:ascii="宋体" w:hAnsi="宋体" w:eastAsia="宋体" w:cs="宋体"/>
                <w:b/>
                <w:color w:val="auto"/>
                <w:sz w:val="21"/>
                <w:szCs w:val="21"/>
                <w:highlight w:val="none"/>
                <w:u w:val="single"/>
                <w:lang w:val="en-US" w:eastAsia="zh-CN"/>
              </w:rPr>
            </w:pPr>
            <w:r>
              <w:rPr>
                <w:rFonts w:hint="eastAsia" w:ascii="宋体" w:hAnsi="宋体" w:eastAsia="宋体" w:cs="宋体"/>
                <w:color w:val="auto"/>
                <w:sz w:val="21"/>
                <w:szCs w:val="21"/>
                <w:highlight w:val="none"/>
              </w:rPr>
              <w:t>邮箱：</w:t>
            </w:r>
            <w:r>
              <w:rPr>
                <w:rFonts w:hint="eastAsia" w:ascii="宋体" w:hAnsi="宋体" w:eastAsia="宋体" w:cs="宋体"/>
                <w:color w:val="auto"/>
                <w:sz w:val="21"/>
                <w:szCs w:val="21"/>
                <w:highlight w:val="none"/>
                <w:lang w:val="en-US" w:eastAsia="zh-CN"/>
              </w:rPr>
              <w:t xml:space="preserve"> cuiqh203749@hanscnc.com  </w:t>
            </w:r>
            <w:r>
              <w:rPr>
                <w:rFonts w:hint="eastAsia" w:ascii="宋体" w:hAnsi="宋体" w:eastAsia="宋体" w:cs="宋体"/>
                <w:color w:val="auto"/>
                <w:highlight w:val="none"/>
                <w:lang w:val="en-US" w:eastAsia="zh-CN"/>
              </w:rPr>
              <w:t xml:space="preserve">  </w:t>
            </w:r>
          </w:p>
        </w:tc>
      </w:tr>
      <w:tr w14:paraId="220F6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719" w:type="dxa"/>
            <w:vAlign w:val="center"/>
          </w:tcPr>
          <w:p w14:paraId="4CF25DF8">
            <w:pPr>
              <w:spacing w:line="30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2</w:t>
            </w:r>
          </w:p>
        </w:tc>
        <w:tc>
          <w:tcPr>
            <w:tcW w:w="1747" w:type="dxa"/>
            <w:vAlign w:val="center"/>
          </w:tcPr>
          <w:p w14:paraId="090BCC7D">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投标书提交时需提供的资料</w:t>
            </w:r>
          </w:p>
        </w:tc>
        <w:tc>
          <w:tcPr>
            <w:tcW w:w="7178" w:type="dxa"/>
            <w:vAlign w:val="center"/>
          </w:tcPr>
          <w:p w14:paraId="24B07F46">
            <w:pPr>
              <w:spacing w:line="30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投标人提交投标书时</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须携带法定代表人身份证明书，非法定代表人提交的应提交公司加盖公章并经法定代表人签署的委托书及其他，详见投标须知正文。</w:t>
            </w:r>
          </w:p>
        </w:tc>
      </w:tr>
      <w:tr w14:paraId="2E2AB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719" w:type="dxa"/>
            <w:vAlign w:val="center"/>
          </w:tcPr>
          <w:p w14:paraId="44B6130D">
            <w:pPr>
              <w:spacing w:line="300" w:lineRule="auto"/>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13</w:t>
            </w:r>
          </w:p>
        </w:tc>
        <w:tc>
          <w:tcPr>
            <w:tcW w:w="1747" w:type="dxa"/>
            <w:vAlign w:val="center"/>
          </w:tcPr>
          <w:p w14:paraId="1805BA9C">
            <w:pPr>
              <w:spacing w:line="30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投标文件份数</w:t>
            </w:r>
          </w:p>
        </w:tc>
        <w:tc>
          <w:tcPr>
            <w:tcW w:w="7178" w:type="dxa"/>
            <w:vAlign w:val="center"/>
          </w:tcPr>
          <w:p w14:paraId="556805E2">
            <w:pPr>
              <w:spacing w:line="30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商务标：</w:t>
            </w:r>
            <w:r>
              <w:rPr>
                <w:rFonts w:hint="eastAsia" w:ascii="宋体" w:hAnsi="宋体" w:eastAsia="宋体" w:cs="宋体"/>
                <w:color w:val="auto"/>
                <w:sz w:val="21"/>
                <w:szCs w:val="21"/>
                <w:highlight w:val="none"/>
              </w:rPr>
              <w:t>一式两份，正本一份，副本一份</w:t>
            </w:r>
            <w:r>
              <w:rPr>
                <w:rFonts w:hint="eastAsia" w:ascii="宋体" w:hAnsi="宋体" w:eastAsia="宋体" w:cs="宋体"/>
                <w:color w:val="auto"/>
                <w:sz w:val="21"/>
                <w:szCs w:val="21"/>
                <w:highlight w:val="none"/>
                <w:lang w:eastAsia="zh-CN"/>
              </w:rPr>
              <w:t>；</w:t>
            </w:r>
          </w:p>
          <w:p w14:paraId="67CA24D3">
            <w:pPr>
              <w:spacing w:line="30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技术标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一式</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份</w:t>
            </w:r>
            <w:r>
              <w:rPr>
                <w:rFonts w:hint="eastAsia" w:ascii="宋体" w:hAnsi="宋体" w:eastAsia="宋体" w:cs="宋体"/>
                <w:color w:val="auto"/>
                <w:sz w:val="21"/>
                <w:szCs w:val="21"/>
                <w:highlight w:val="none"/>
                <w:lang w:eastAsia="zh-CN"/>
              </w:rPr>
              <w:t>；</w:t>
            </w:r>
          </w:p>
          <w:p w14:paraId="2ED4A0D4">
            <w:pPr>
              <w:spacing w:line="30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商务标、</w:t>
            </w:r>
            <w:r>
              <w:rPr>
                <w:rFonts w:hint="eastAsia" w:ascii="宋体" w:hAnsi="宋体" w:eastAsia="宋体" w:cs="宋体"/>
                <w:color w:val="auto"/>
                <w:sz w:val="21"/>
                <w:szCs w:val="21"/>
                <w:highlight w:val="none"/>
              </w:rPr>
              <w:t>技术标</w:t>
            </w:r>
            <w:r>
              <w:rPr>
                <w:rFonts w:hint="eastAsia" w:ascii="宋体" w:hAnsi="宋体" w:eastAsia="宋体" w:cs="宋体"/>
                <w:b/>
                <w:color w:val="auto"/>
                <w:sz w:val="21"/>
                <w:szCs w:val="21"/>
                <w:highlight w:val="none"/>
              </w:rPr>
              <w:t>必须分开</w:t>
            </w:r>
            <w:r>
              <w:rPr>
                <w:rFonts w:hint="eastAsia" w:ascii="宋体" w:hAnsi="宋体" w:eastAsia="宋体" w:cs="宋体"/>
                <w:color w:val="auto"/>
                <w:sz w:val="21"/>
                <w:szCs w:val="21"/>
                <w:highlight w:val="none"/>
              </w:rPr>
              <w:t>装订</w:t>
            </w:r>
            <w:r>
              <w:rPr>
                <w:rFonts w:hint="eastAsia" w:ascii="宋体" w:hAnsi="宋体" w:eastAsia="宋体" w:cs="宋体"/>
                <w:color w:val="auto"/>
                <w:sz w:val="21"/>
                <w:szCs w:val="21"/>
                <w:highlight w:val="none"/>
                <w:lang w:val="en-US" w:eastAsia="zh-CN"/>
              </w:rPr>
              <w:t>且</w:t>
            </w:r>
            <w:r>
              <w:rPr>
                <w:rFonts w:hint="eastAsia" w:ascii="宋体" w:hAnsi="宋体" w:eastAsia="宋体" w:cs="宋体"/>
                <w:color w:val="auto"/>
                <w:sz w:val="21"/>
                <w:szCs w:val="21"/>
                <w:highlight w:val="none"/>
              </w:rPr>
              <w:t>密封，</w:t>
            </w:r>
            <w:r>
              <w:rPr>
                <w:rFonts w:hint="eastAsia" w:ascii="宋体" w:hAnsi="宋体" w:eastAsia="宋体" w:cs="宋体"/>
                <w:color w:val="auto"/>
                <w:sz w:val="21"/>
                <w:szCs w:val="21"/>
                <w:highlight w:val="none"/>
                <w:lang w:val="en-US" w:eastAsia="zh-CN"/>
              </w:rPr>
              <w:t>同时</w:t>
            </w:r>
            <w:r>
              <w:rPr>
                <w:rFonts w:hint="eastAsia" w:ascii="宋体" w:hAnsi="宋体" w:eastAsia="宋体" w:cs="宋体"/>
                <w:color w:val="auto"/>
                <w:sz w:val="21"/>
                <w:szCs w:val="21"/>
                <w:highlight w:val="none"/>
              </w:rPr>
              <w:t>须提交所有标书的</w:t>
            </w:r>
            <w:r>
              <w:rPr>
                <w:rFonts w:hint="eastAsia" w:ascii="宋体" w:hAnsi="宋体" w:eastAsia="宋体" w:cs="宋体"/>
                <w:b/>
                <w:color w:val="auto"/>
                <w:sz w:val="21"/>
                <w:szCs w:val="21"/>
                <w:highlight w:val="none"/>
              </w:rPr>
              <w:t>电子标（U盘）一份（装入</w:t>
            </w:r>
            <w:r>
              <w:rPr>
                <w:rFonts w:hint="eastAsia" w:ascii="宋体" w:hAnsi="宋体" w:eastAsia="宋体" w:cs="宋体"/>
                <w:b/>
                <w:color w:val="auto"/>
                <w:sz w:val="21"/>
                <w:szCs w:val="21"/>
                <w:highlight w:val="none"/>
                <w:lang w:val="en-US" w:eastAsia="zh-CN"/>
              </w:rPr>
              <w:t>商务标</w:t>
            </w:r>
            <w:r>
              <w:rPr>
                <w:rFonts w:hint="eastAsia" w:ascii="宋体" w:hAnsi="宋体" w:eastAsia="宋体" w:cs="宋体"/>
                <w:b/>
                <w:color w:val="auto"/>
                <w:sz w:val="21"/>
                <w:szCs w:val="21"/>
                <w:highlight w:val="none"/>
              </w:rPr>
              <w:t>密封袋中）</w:t>
            </w:r>
            <w:r>
              <w:rPr>
                <w:rFonts w:hint="eastAsia" w:ascii="宋体" w:hAnsi="宋体" w:eastAsia="宋体" w:cs="宋体"/>
                <w:color w:val="auto"/>
                <w:sz w:val="21"/>
                <w:szCs w:val="21"/>
                <w:highlight w:val="none"/>
              </w:rPr>
              <w:t>。</w:t>
            </w:r>
          </w:p>
        </w:tc>
      </w:tr>
      <w:tr w14:paraId="7560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719" w:type="dxa"/>
            <w:vAlign w:val="center"/>
          </w:tcPr>
          <w:p w14:paraId="1B1A996F">
            <w:pPr>
              <w:spacing w:line="30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hAnsi="宋体" w:cs="宋体"/>
                <w:color w:val="auto"/>
                <w:sz w:val="21"/>
                <w:szCs w:val="21"/>
                <w:highlight w:val="none"/>
                <w:lang w:val="en-US" w:eastAsia="zh-CN"/>
              </w:rPr>
              <w:t>4</w:t>
            </w:r>
          </w:p>
        </w:tc>
        <w:tc>
          <w:tcPr>
            <w:tcW w:w="1747" w:type="dxa"/>
            <w:vAlign w:val="center"/>
          </w:tcPr>
          <w:p w14:paraId="7D3CD798">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关于偏离说明</w:t>
            </w:r>
          </w:p>
        </w:tc>
        <w:tc>
          <w:tcPr>
            <w:tcW w:w="7178" w:type="dxa"/>
            <w:vAlign w:val="center"/>
          </w:tcPr>
          <w:p w14:paraId="5469AAE5">
            <w:pPr>
              <w:spacing w:line="30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标有“★”的条款为必须完全满足的实质性要求，投标人如有一项带“★”的条款未响应或负偏离，将按无效投标处理；</w:t>
            </w:r>
            <w:r>
              <w:rPr>
                <w:rFonts w:hint="eastAsia" w:ascii="宋体" w:hAnsi="宋体" w:eastAsia="宋体" w:cs="宋体"/>
                <w:b w:val="0"/>
                <w:bCs w:val="0"/>
                <w:color w:val="auto"/>
                <w:sz w:val="21"/>
                <w:szCs w:val="21"/>
                <w:highlight w:val="none"/>
                <w:lang w:val="en-US" w:eastAsia="zh-CN"/>
              </w:rPr>
              <w:t>未标注“★”非核心条款允许同等替代的偏离，贵单位需在商务/技术偏离表中说明替代方案。</w:t>
            </w:r>
          </w:p>
        </w:tc>
      </w:tr>
      <w:tr w14:paraId="16185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719" w:type="dxa"/>
            <w:vAlign w:val="center"/>
          </w:tcPr>
          <w:p w14:paraId="7C92D710">
            <w:pPr>
              <w:spacing w:line="30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1</w:t>
            </w:r>
            <w:r>
              <w:rPr>
                <w:rFonts w:hint="eastAsia" w:hAnsi="宋体" w:cs="宋体"/>
                <w:bCs/>
                <w:color w:val="auto"/>
                <w:sz w:val="21"/>
                <w:szCs w:val="21"/>
                <w:highlight w:val="none"/>
                <w:lang w:val="en-US" w:eastAsia="zh-CN"/>
              </w:rPr>
              <w:t>5</w:t>
            </w:r>
          </w:p>
        </w:tc>
        <w:tc>
          <w:tcPr>
            <w:tcW w:w="1747" w:type="dxa"/>
            <w:vAlign w:val="center"/>
          </w:tcPr>
          <w:p w14:paraId="285172DB">
            <w:pPr>
              <w:spacing w:line="30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提交投标文件截止时间及地点</w:t>
            </w:r>
          </w:p>
        </w:tc>
        <w:tc>
          <w:tcPr>
            <w:tcW w:w="7178" w:type="dxa"/>
            <w:vAlign w:val="center"/>
          </w:tcPr>
          <w:p w14:paraId="15BD428A">
            <w:pPr>
              <w:pStyle w:val="27"/>
              <w:numPr>
                <w:ilvl w:val="0"/>
                <w:numId w:val="0"/>
              </w:numPr>
              <w:spacing w:line="360" w:lineRule="auto"/>
              <w:jc w:val="both"/>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val="en-US" w:eastAsia="zh-CN" w:bidi="ar-SA"/>
              </w:rPr>
              <w:t>详见“投标邀请邮件通知”</w:t>
            </w:r>
          </w:p>
        </w:tc>
      </w:tr>
      <w:tr w14:paraId="0A01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19" w:type="dxa"/>
            <w:vAlign w:val="center"/>
          </w:tcPr>
          <w:p w14:paraId="1D80DCF8">
            <w:pPr>
              <w:spacing w:line="30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6</w:t>
            </w:r>
          </w:p>
        </w:tc>
        <w:tc>
          <w:tcPr>
            <w:tcW w:w="1747" w:type="dxa"/>
            <w:vAlign w:val="center"/>
          </w:tcPr>
          <w:p w14:paraId="73A9E4D7">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评标原则</w:t>
            </w:r>
          </w:p>
        </w:tc>
        <w:tc>
          <w:tcPr>
            <w:tcW w:w="7178" w:type="dxa"/>
            <w:vAlign w:val="center"/>
          </w:tcPr>
          <w:p w14:paraId="57BD08A3">
            <w:pPr>
              <w:snapToGrid w:val="0"/>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综合评估法</w:t>
            </w:r>
          </w:p>
        </w:tc>
      </w:tr>
      <w:tr w14:paraId="4BC7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19" w:type="dxa"/>
            <w:vAlign w:val="center"/>
          </w:tcPr>
          <w:p w14:paraId="2348F7F7">
            <w:pPr>
              <w:spacing w:line="30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hAnsi="宋体" w:cs="宋体"/>
                <w:color w:val="auto"/>
                <w:sz w:val="21"/>
                <w:szCs w:val="21"/>
                <w:highlight w:val="none"/>
                <w:lang w:val="en-US" w:eastAsia="zh-CN"/>
              </w:rPr>
              <w:t>7</w:t>
            </w:r>
          </w:p>
        </w:tc>
        <w:tc>
          <w:tcPr>
            <w:tcW w:w="1747" w:type="dxa"/>
            <w:vAlign w:val="center"/>
          </w:tcPr>
          <w:p w14:paraId="415D8C48">
            <w:pPr>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本工程投标有效期</w:t>
            </w:r>
          </w:p>
        </w:tc>
        <w:tc>
          <w:tcPr>
            <w:tcW w:w="7178" w:type="dxa"/>
            <w:vAlign w:val="center"/>
          </w:tcPr>
          <w:p w14:paraId="3CDB7FEC">
            <w:pPr>
              <w:snapToGrid w:val="0"/>
              <w:spacing w:line="30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本招标工程投标有效期为</w:t>
            </w:r>
            <w:r>
              <w:rPr>
                <w:rFonts w:hint="eastAsia" w:hAnsi="宋体" w:cs="宋体"/>
                <w:color w:val="auto"/>
                <w:sz w:val="21"/>
                <w:szCs w:val="21"/>
                <w:highlight w:val="none"/>
                <w:lang w:val="en-US" w:eastAsia="zh-CN"/>
              </w:rPr>
              <w:t>30</w:t>
            </w:r>
            <w:r>
              <w:rPr>
                <w:rFonts w:hint="eastAsia" w:ascii="宋体" w:hAnsi="宋体" w:eastAsia="宋体" w:cs="宋体"/>
                <w:color w:val="auto"/>
                <w:sz w:val="21"/>
                <w:szCs w:val="21"/>
                <w:highlight w:val="none"/>
              </w:rPr>
              <w:t>日历天</w:t>
            </w:r>
          </w:p>
        </w:tc>
      </w:tr>
      <w:tr w14:paraId="2321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19" w:type="dxa"/>
            <w:vAlign w:val="center"/>
          </w:tcPr>
          <w:p w14:paraId="2DADB7BD">
            <w:pPr>
              <w:spacing w:line="300" w:lineRule="auto"/>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18</w:t>
            </w:r>
          </w:p>
        </w:tc>
        <w:tc>
          <w:tcPr>
            <w:tcW w:w="1747" w:type="dxa"/>
            <w:vAlign w:val="center"/>
          </w:tcPr>
          <w:p w14:paraId="7C6E90A5">
            <w:pPr>
              <w:spacing w:line="30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重要</w:t>
            </w:r>
            <w:r>
              <w:rPr>
                <w:rFonts w:hint="eastAsia" w:ascii="宋体" w:hAnsi="宋体" w:eastAsia="宋体" w:cs="宋体"/>
                <w:b/>
                <w:bCs/>
                <w:color w:val="auto"/>
                <w:sz w:val="21"/>
                <w:szCs w:val="21"/>
                <w:highlight w:val="none"/>
              </w:rPr>
              <w:t>说明</w:t>
            </w:r>
          </w:p>
        </w:tc>
        <w:tc>
          <w:tcPr>
            <w:tcW w:w="7178" w:type="dxa"/>
            <w:vAlign w:val="center"/>
          </w:tcPr>
          <w:p w14:paraId="7EB27898">
            <w:pPr>
              <w:numPr>
                <w:ilvl w:val="0"/>
                <w:numId w:val="0"/>
              </w:numPr>
              <w:snapToGrid w:val="0"/>
              <w:spacing w:line="300" w:lineRule="auto"/>
              <w:rPr>
                <w:rFonts w:hint="eastAsia" w:ascii="宋体" w:hAnsi="宋体" w:eastAsia="宋体" w:cs="宋体"/>
                <w:b w:val="0"/>
                <w:bCs w:val="0"/>
                <w:color w:val="auto"/>
                <w:sz w:val="21"/>
                <w:szCs w:val="21"/>
                <w:highlight w:val="none"/>
                <w:lang w:val="en-US" w:eastAsia="zh-CN"/>
              </w:rPr>
            </w:pPr>
            <w:r>
              <w:rPr>
                <w:rFonts w:hint="eastAsia"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val="en-US" w:eastAsia="zh-CN"/>
              </w:rPr>
              <w:t>此次家具招标方案已确认，请各投标单位根据自有产品选择无限接近方案的产品，或根据方案产品进行定制，各投标单位须在清单中标明家具品牌、成品或定制产品、生产工厂全称（招标人将根据实际需要进行实地考察）。</w:t>
            </w:r>
          </w:p>
          <w:p w14:paraId="070D1C72">
            <w:pPr>
              <w:keepNext w:val="0"/>
              <w:keepLines w:val="0"/>
              <w:widowControl/>
              <w:suppressLineNumbers w:val="0"/>
              <w:jc w:val="left"/>
              <w:rPr>
                <w:rFonts w:hint="eastAsia" w:ascii="宋体" w:hAnsi="宋体" w:eastAsia="宋体" w:cs="宋体"/>
                <w:b w:val="0"/>
                <w:bCs w:val="0"/>
                <w:color w:val="auto"/>
                <w:sz w:val="21"/>
                <w:szCs w:val="21"/>
                <w:highlight w:val="none"/>
              </w:rPr>
            </w:pPr>
            <w:r>
              <w:rPr>
                <w:rFonts w:hint="eastAsia"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val="en-US" w:eastAsia="zh-CN"/>
              </w:rPr>
              <w:t>所有家具须响应本招标文件附件《技术要求》中要求，如有偏离请在《技术偏离表》中载明偏离内容，商务、技术条款，未按要求填写偏离表或隐瞒偏离情况的，将按废标处理；</w:t>
            </w:r>
          </w:p>
          <w:p w14:paraId="05FA4064">
            <w:pPr>
              <w:numPr>
                <w:ilvl w:val="0"/>
                <w:numId w:val="0"/>
              </w:numPr>
              <w:shd w:val="clear"/>
              <w:snapToGrid w:val="0"/>
              <w:spacing w:line="300" w:lineRule="auto"/>
              <w:rPr>
                <w:rFonts w:hint="eastAsia" w:ascii="宋体" w:hAnsi="宋体" w:eastAsia="宋体" w:cs="宋体"/>
                <w:b w:val="0"/>
                <w:bCs w:val="0"/>
                <w:color w:val="auto"/>
                <w:sz w:val="21"/>
                <w:szCs w:val="21"/>
                <w:highlight w:val="none"/>
              </w:rPr>
            </w:pPr>
            <w:r>
              <w:rPr>
                <w:rFonts w:hint="eastAsia" w:hAnsi="宋体" w:cs="宋体"/>
                <w:b w:val="0"/>
                <w:bCs w:val="0"/>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回标需提供平面布置图、方</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案图（如有）、清单、材料实物样品（样品作为下单和验收依据），是实物样板要求：三口化验水龙头</w:t>
            </w:r>
            <w:r>
              <w:rPr>
                <w:rFonts w:hint="eastAsia" w:hAnsi="宋体" w:cs="宋体"/>
                <w:b w:val="0"/>
                <w:bCs w:val="0"/>
                <w:color w:val="000000" w:themeColor="text1"/>
                <w:sz w:val="21"/>
                <w:szCs w:val="21"/>
                <w:highlight w:val="none"/>
                <w:lang w:val="en-US" w:eastAsia="zh-CN"/>
                <w14:textFill>
                  <w14:solidFill>
                    <w14:schemeClr w14:val="tx1"/>
                  </w14:solidFill>
                </w14:textFill>
              </w:rPr>
              <w:t>（成品）、冷轧钢板环氧喷涂样板、防静电台面（10*10cm）、水槽</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按顺序粘贴在展板上。</w:t>
            </w:r>
            <w:r>
              <w:rPr>
                <w:rFonts w:hint="eastAsia" w:ascii="宋体" w:hAnsi="宋体" w:eastAsia="宋体" w:cs="宋体"/>
                <w:b w:val="0"/>
                <w:bCs w:val="0"/>
                <w:color w:val="000000" w:themeColor="text1"/>
                <w:sz w:val="21"/>
                <w:szCs w:val="21"/>
                <w:highlight w:val="none"/>
                <w14:textFill>
                  <w14:solidFill>
                    <w14:schemeClr w14:val="tx1"/>
                  </w14:solidFill>
                </w14:textFill>
              </w:rPr>
              <w:t>实物样板请自行编号</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p>
          <w:p w14:paraId="72127EC0">
            <w:pPr>
              <w:numPr>
                <w:ilvl w:val="0"/>
                <w:numId w:val="0"/>
              </w:numPr>
              <w:snapToGrid w:val="0"/>
              <w:spacing w:line="300" w:lineRule="auto"/>
              <w:rPr>
                <w:rFonts w:hint="eastAsia" w:ascii="宋体" w:hAnsi="宋体" w:eastAsia="宋体" w:cs="宋体"/>
                <w:b w:val="0"/>
                <w:bCs w:val="0"/>
                <w:color w:val="auto"/>
                <w:sz w:val="21"/>
                <w:szCs w:val="21"/>
                <w:highlight w:val="none"/>
                <w:lang w:val="en-US" w:eastAsia="zh-CN"/>
              </w:rPr>
            </w:pPr>
            <w:r>
              <w:rPr>
                <w:rFonts w:hint="eastAsia" w:hAnsi="宋体" w:cs="宋体"/>
                <w:b w:val="0"/>
                <w:bCs w:val="0"/>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投标人在广东地区必须有稳定、强有力的售后服务队伍，售后服务及时、态度优良，且必须在投标书中单独提供一份切实可行的售后服务承诺书。投标单位所有产品的质保期自我司相关部门验收合格之日起算。质保期内（人为因素除外）出现故障免费维修，2小时响应，24小时解决问题；当场无法处理的故障，投标人需提供替代产品，提供终身维修免收上门费，超过质保期的维修只收取维修材料成本费用。</w:t>
            </w:r>
          </w:p>
          <w:p w14:paraId="484B38B3">
            <w:pPr>
              <w:numPr>
                <w:ilvl w:val="0"/>
                <w:numId w:val="0"/>
              </w:numPr>
              <w:snapToGrid w:val="0"/>
              <w:spacing w:line="300" w:lineRule="auto"/>
              <w:rPr>
                <w:rFonts w:hint="eastAsia" w:ascii="宋体" w:hAnsi="宋体" w:eastAsia="宋体" w:cs="宋体"/>
                <w:b w:val="0"/>
                <w:bCs w:val="0"/>
                <w:color w:val="auto"/>
                <w:sz w:val="21"/>
                <w:szCs w:val="21"/>
                <w:highlight w:val="none"/>
                <w:lang w:val="en-US" w:eastAsia="zh-CN"/>
              </w:rPr>
            </w:pPr>
            <w:r>
              <w:rPr>
                <w:rFonts w:hint="eastAsia" w:hAnsi="宋体" w:cs="宋体"/>
                <w:b w:val="0"/>
                <w:bCs w:val="0"/>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所有家具进场时须提供生产厂家供货证明，须载明家具名称、照片、数量并有厂家盖章。</w:t>
            </w:r>
          </w:p>
          <w:p w14:paraId="5398F344">
            <w:pPr>
              <w:numPr>
                <w:ilvl w:val="0"/>
                <w:numId w:val="0"/>
              </w:numPr>
              <w:snapToGrid w:val="0"/>
              <w:spacing w:line="300" w:lineRule="auto"/>
              <w:rPr>
                <w:rFonts w:hint="eastAsia" w:ascii="宋体" w:hAnsi="宋体" w:eastAsia="宋体" w:cs="宋体"/>
                <w:b w:val="0"/>
                <w:bCs w:val="0"/>
                <w:color w:val="auto"/>
                <w:sz w:val="21"/>
                <w:szCs w:val="21"/>
                <w:highlight w:val="none"/>
              </w:rPr>
            </w:pPr>
            <w:r>
              <w:rPr>
                <w:rFonts w:hint="eastAsia" w:hAnsi="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本工程招标范围内的工程内容，招标人有权取消。投标单位必须无条件遵从招标人的指令，相应金额从总价中扣除，并不能向招标人要求额外费用补偿和索赔。</w:t>
            </w:r>
          </w:p>
          <w:p w14:paraId="3A34B55C">
            <w:pPr>
              <w:numPr>
                <w:ilvl w:val="0"/>
                <w:numId w:val="0"/>
              </w:numPr>
              <w:snapToGrid w:val="0"/>
              <w:spacing w:line="300" w:lineRule="auto"/>
              <w:rPr>
                <w:rFonts w:hint="eastAsia" w:ascii="宋体" w:hAnsi="宋体" w:eastAsia="宋体" w:cs="宋体"/>
                <w:b w:val="0"/>
                <w:bCs w:val="0"/>
                <w:color w:val="auto"/>
                <w:sz w:val="21"/>
                <w:szCs w:val="21"/>
                <w:highlight w:val="none"/>
              </w:rPr>
            </w:pPr>
            <w:r>
              <w:rPr>
                <w:rFonts w:hint="eastAsia" w:hAnsi="宋体" w:cs="宋体"/>
                <w:b w:val="0"/>
                <w:bCs w:val="0"/>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w:t>
            </w:r>
            <w:r>
              <w:rPr>
                <w:rFonts w:hint="eastAsia" w:ascii="宋体" w:hAnsi="宋体" w:eastAsia="宋体" w:cs="宋体"/>
                <w:b w:val="0"/>
                <w:bCs w:val="0"/>
                <w:color w:val="auto"/>
                <w:sz w:val="21"/>
                <w:szCs w:val="21"/>
                <w:highlight w:val="none"/>
              </w:rPr>
              <w:t>投标单位进场施工前，必须做好其他专业</w:t>
            </w:r>
            <w:r>
              <w:rPr>
                <w:rFonts w:hint="eastAsia" w:ascii="宋体" w:hAnsi="宋体" w:eastAsia="宋体" w:cs="宋体"/>
                <w:b w:val="0"/>
                <w:bCs w:val="0"/>
                <w:color w:val="auto"/>
                <w:sz w:val="21"/>
                <w:szCs w:val="21"/>
                <w:highlight w:val="none"/>
                <w:lang w:val="en-US" w:eastAsia="zh-CN"/>
              </w:rPr>
              <w:t>已完工程</w:t>
            </w:r>
            <w:r>
              <w:rPr>
                <w:rFonts w:hint="eastAsia" w:ascii="宋体" w:hAnsi="宋体" w:eastAsia="宋体" w:cs="宋体"/>
                <w:b w:val="0"/>
                <w:bCs w:val="0"/>
                <w:color w:val="auto"/>
                <w:sz w:val="21"/>
                <w:szCs w:val="21"/>
                <w:highlight w:val="none"/>
              </w:rPr>
              <w:t>的成品保护，如因投标单位原因造成其他专业工程成品或半成品损坏，由投标单位负责修复或更换并接受甲方相应的处罚。</w:t>
            </w:r>
          </w:p>
          <w:p w14:paraId="7EDE95DD">
            <w:pPr>
              <w:numPr>
                <w:ilvl w:val="0"/>
                <w:numId w:val="0"/>
              </w:numPr>
              <w:snapToGrid w:val="0"/>
              <w:spacing w:line="300" w:lineRule="auto"/>
              <w:rPr>
                <w:rFonts w:hint="eastAsia" w:ascii="宋体" w:hAnsi="宋体" w:eastAsia="宋体" w:cs="宋体"/>
                <w:b w:val="0"/>
                <w:bCs w:val="0"/>
                <w:color w:val="auto"/>
                <w:sz w:val="21"/>
                <w:szCs w:val="21"/>
                <w:highlight w:val="none"/>
                <w:lang w:val="en-US" w:eastAsia="zh-CN"/>
              </w:rPr>
            </w:pPr>
            <w:r>
              <w:rPr>
                <w:rFonts w:hint="eastAsia" w:hAnsi="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rPr>
              <w:t>招标定标原则为综合评估法，如投标单位以中标为目的</w:t>
            </w:r>
            <w:r>
              <w:rPr>
                <w:rFonts w:hint="eastAsia" w:ascii="宋体" w:hAnsi="宋体" w:eastAsia="宋体" w:cs="宋体"/>
                <w:b w:val="0"/>
                <w:bCs w:val="0"/>
                <w:color w:val="auto"/>
                <w:sz w:val="21"/>
                <w:szCs w:val="21"/>
                <w:highlight w:val="none"/>
                <w:lang w:eastAsia="zh-CN"/>
              </w:rPr>
              <w:t>，在</w:t>
            </w:r>
            <w:r>
              <w:rPr>
                <w:rFonts w:hint="eastAsia" w:ascii="宋体" w:hAnsi="宋体" w:eastAsia="宋体" w:cs="宋体"/>
                <w:b w:val="0"/>
                <w:bCs w:val="0"/>
                <w:color w:val="auto"/>
                <w:sz w:val="21"/>
                <w:szCs w:val="21"/>
                <w:highlight w:val="none"/>
              </w:rPr>
              <w:t>投标中无正当理由压低报价，被招标人判定为恶意竞争的，将作为废标处理，招标人亦不会向投标人解释。</w:t>
            </w:r>
          </w:p>
        </w:tc>
      </w:tr>
      <w:bookmarkEnd w:id="76"/>
    </w:tbl>
    <w:p w14:paraId="1FCFAAE8">
      <w:pPr>
        <w:pStyle w:val="2"/>
        <w:spacing w:line="360" w:lineRule="auto"/>
        <w:jc w:val="center"/>
        <w:rPr>
          <w:rFonts w:hint="eastAsia" w:ascii="宋体" w:hAnsi="宋体" w:eastAsia="宋体" w:cs="宋体"/>
          <w:color w:val="auto"/>
          <w:sz w:val="32"/>
          <w:szCs w:val="21"/>
          <w:highlight w:val="none"/>
        </w:rPr>
      </w:pPr>
      <w:bookmarkStart w:id="77" w:name="_Toc481596020"/>
      <w:bookmarkStart w:id="78" w:name="_Toc11081119"/>
      <w:bookmarkStart w:id="79" w:name="_Toc31742"/>
      <w:bookmarkStart w:id="80" w:name="_Toc27924"/>
    </w:p>
    <w:p w14:paraId="483298D6">
      <w:pPr>
        <w:rPr>
          <w:rFonts w:hint="eastAsia" w:ascii="宋体" w:hAnsi="宋体" w:eastAsia="宋体" w:cs="宋体"/>
          <w:color w:val="auto"/>
          <w:sz w:val="32"/>
          <w:szCs w:val="21"/>
          <w:highlight w:val="none"/>
        </w:rPr>
      </w:pPr>
    </w:p>
    <w:p w14:paraId="6D57C1F1">
      <w:pPr>
        <w:rPr>
          <w:rFonts w:hint="eastAsia" w:ascii="宋体" w:hAnsi="宋体" w:eastAsia="宋体" w:cs="宋体"/>
          <w:color w:val="auto"/>
          <w:sz w:val="32"/>
          <w:szCs w:val="21"/>
          <w:highlight w:val="none"/>
        </w:rPr>
      </w:pPr>
    </w:p>
    <w:p w14:paraId="66F7D76F">
      <w:pPr>
        <w:rPr>
          <w:rFonts w:hint="eastAsia" w:ascii="宋体" w:hAnsi="宋体" w:eastAsia="宋体" w:cs="宋体"/>
          <w:color w:val="auto"/>
          <w:sz w:val="32"/>
          <w:szCs w:val="21"/>
          <w:highlight w:val="none"/>
        </w:rPr>
      </w:pPr>
    </w:p>
    <w:p w14:paraId="311ABA48">
      <w:pPr>
        <w:rPr>
          <w:rFonts w:hint="eastAsia"/>
        </w:rPr>
      </w:pPr>
    </w:p>
    <w:bookmarkEnd w:id="77"/>
    <w:bookmarkEnd w:id="78"/>
    <w:bookmarkEnd w:id="79"/>
    <w:bookmarkEnd w:id="80"/>
    <w:p w14:paraId="3FC610D4">
      <w:pPr>
        <w:pStyle w:val="2"/>
        <w:spacing w:line="360" w:lineRule="auto"/>
        <w:jc w:val="center"/>
        <w:rPr>
          <w:rFonts w:hint="eastAsia" w:ascii="宋体" w:hAnsi="宋体" w:eastAsia="宋体" w:cs="宋体"/>
          <w:color w:val="auto"/>
          <w:sz w:val="32"/>
          <w:szCs w:val="21"/>
          <w:highlight w:val="none"/>
        </w:rPr>
      </w:pPr>
      <w:bookmarkStart w:id="81" w:name="_Toc362441771"/>
      <w:bookmarkStart w:id="82" w:name="_Toc481596076"/>
      <w:r>
        <w:rPr>
          <w:rFonts w:hint="eastAsia" w:ascii="宋体" w:hAnsi="宋体" w:eastAsia="宋体" w:cs="宋体"/>
          <w:color w:val="auto"/>
          <w:sz w:val="32"/>
          <w:szCs w:val="21"/>
          <w:highlight w:val="none"/>
        </w:rPr>
        <w:t>第</w:t>
      </w:r>
      <w:r>
        <w:rPr>
          <w:rFonts w:hint="eastAsia" w:ascii="宋体" w:hAnsi="宋体" w:eastAsia="宋体" w:cs="宋体"/>
          <w:color w:val="auto"/>
          <w:sz w:val="32"/>
          <w:szCs w:val="21"/>
          <w:highlight w:val="none"/>
          <w:lang w:val="en-US" w:eastAsia="zh-CN"/>
        </w:rPr>
        <w:t>一</w:t>
      </w:r>
      <w:r>
        <w:rPr>
          <w:rFonts w:hint="eastAsia" w:ascii="宋体" w:hAnsi="宋体" w:eastAsia="宋体" w:cs="宋体"/>
          <w:color w:val="auto"/>
          <w:sz w:val="32"/>
          <w:szCs w:val="21"/>
          <w:highlight w:val="none"/>
        </w:rPr>
        <w:t xml:space="preserve">部分 </w:t>
      </w:r>
      <w:r>
        <w:rPr>
          <w:rFonts w:hint="eastAsia" w:ascii="宋体" w:hAnsi="宋体" w:eastAsia="宋体" w:cs="宋体"/>
          <w:color w:val="auto"/>
          <w:sz w:val="32"/>
          <w:szCs w:val="21"/>
          <w:highlight w:val="none"/>
          <w:lang w:val="en-US" w:eastAsia="zh-CN"/>
        </w:rPr>
        <w:t xml:space="preserve"> </w:t>
      </w:r>
      <w:r>
        <w:rPr>
          <w:rFonts w:hint="eastAsia" w:ascii="宋体" w:hAnsi="宋体" w:eastAsia="宋体" w:cs="宋体"/>
          <w:color w:val="auto"/>
          <w:sz w:val="32"/>
          <w:szCs w:val="21"/>
          <w:highlight w:val="none"/>
        </w:rPr>
        <w:t>投标须知</w:t>
      </w:r>
    </w:p>
    <w:p w14:paraId="18457B21">
      <w:pPr>
        <w:keepNext/>
        <w:numPr>
          <w:ilvl w:val="0"/>
          <w:numId w:val="0"/>
        </w:numPr>
        <w:tabs>
          <w:tab w:val="left" w:pos="709"/>
        </w:tabs>
        <w:snapToGrid w:val="0"/>
        <w:spacing w:line="360" w:lineRule="auto"/>
        <w:ind w:left="482" w:leftChars="0" w:hanging="425" w:firstLineChars="0"/>
        <w:rPr>
          <w:rFonts w:hint="eastAsia" w:ascii="宋体" w:hAnsi="宋体" w:eastAsia="宋体" w:cs="宋体"/>
          <w:b/>
          <w:snapToGrid w:val="0"/>
          <w:color w:val="auto"/>
          <w:szCs w:val="21"/>
          <w:highlight w:val="none"/>
        </w:rPr>
      </w:pPr>
      <w:bookmarkStart w:id="83" w:name="_Toc9487"/>
      <w:bookmarkStart w:id="84" w:name="_Toc216695511"/>
      <w:bookmarkStart w:id="85" w:name="_Toc7299"/>
      <w:bookmarkStart w:id="86" w:name="_Toc481596021"/>
      <w:bookmarkStart w:id="87" w:name="_Toc11081120"/>
      <w:bookmarkStart w:id="88" w:name="_Toc362441701"/>
      <w:r>
        <w:rPr>
          <w:rFonts w:hint="eastAsia" w:hAnsi="宋体" w:cs="宋体"/>
          <w:b/>
          <w:snapToGrid w:val="0"/>
          <w:color w:val="auto"/>
          <w:sz w:val="24"/>
          <w:szCs w:val="21"/>
          <w:lang w:val="en-US" w:eastAsia="zh-CN" w:bidi="ar-SA"/>
        </w:rPr>
        <w:t>1.</w:t>
      </w:r>
      <w:r>
        <w:rPr>
          <w:rFonts w:hint="eastAsia" w:ascii="宋体" w:hAnsi="宋体" w:eastAsia="宋体" w:cs="宋体"/>
          <w:b/>
          <w:snapToGrid w:val="0"/>
          <w:color w:val="auto"/>
          <w:szCs w:val="21"/>
          <w:highlight w:val="none"/>
        </w:rPr>
        <w:t>项目简介</w:t>
      </w:r>
      <w:bookmarkEnd w:id="83"/>
      <w:bookmarkEnd w:id="84"/>
      <w:bookmarkEnd w:id="85"/>
      <w:bookmarkEnd w:id="86"/>
      <w:bookmarkEnd w:id="87"/>
      <w:bookmarkEnd w:id="88"/>
    </w:p>
    <w:p w14:paraId="01A69299">
      <w:pPr>
        <w:tabs>
          <w:tab w:val="left" w:pos="1406"/>
        </w:tabs>
        <w:spacing w:line="360" w:lineRule="auto"/>
        <w:ind w:left="708" w:leftChars="29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详见“投标须知前附表”</w:t>
      </w:r>
    </w:p>
    <w:p w14:paraId="6109972F">
      <w:pPr>
        <w:keepNext/>
        <w:numPr>
          <w:ilvl w:val="0"/>
          <w:numId w:val="0"/>
        </w:numPr>
        <w:tabs>
          <w:tab w:val="left" w:pos="709"/>
        </w:tabs>
        <w:snapToGrid w:val="0"/>
        <w:spacing w:line="360" w:lineRule="auto"/>
        <w:ind w:left="482" w:leftChars="0" w:hanging="425" w:firstLineChars="0"/>
        <w:rPr>
          <w:rFonts w:hint="eastAsia" w:ascii="宋体" w:hAnsi="宋体" w:eastAsia="宋体" w:cs="宋体"/>
          <w:b/>
          <w:snapToGrid w:val="0"/>
          <w:color w:val="auto"/>
          <w:szCs w:val="21"/>
          <w:highlight w:val="none"/>
        </w:rPr>
      </w:pPr>
      <w:bookmarkStart w:id="89" w:name="_Toc481596022"/>
      <w:bookmarkStart w:id="90" w:name="_Toc6482"/>
      <w:bookmarkStart w:id="91" w:name="_Toc362441702"/>
      <w:bookmarkStart w:id="92" w:name="_Toc30355"/>
      <w:bookmarkStart w:id="93" w:name="_Toc11081121"/>
      <w:bookmarkStart w:id="94" w:name="_Toc162409981"/>
      <w:bookmarkStart w:id="95" w:name="_Toc216695513"/>
      <w:bookmarkStart w:id="96" w:name="_Toc162409841"/>
      <w:r>
        <w:rPr>
          <w:rFonts w:hint="eastAsia" w:hAnsi="宋体" w:cs="宋体"/>
          <w:b/>
          <w:snapToGrid w:val="0"/>
          <w:color w:val="auto"/>
          <w:sz w:val="24"/>
          <w:szCs w:val="21"/>
          <w:lang w:val="en-US" w:eastAsia="zh-CN" w:bidi="ar-SA"/>
        </w:rPr>
        <w:t>2.</w:t>
      </w:r>
      <w:r>
        <w:rPr>
          <w:rFonts w:hint="eastAsia" w:ascii="宋体" w:hAnsi="宋体" w:eastAsia="宋体" w:cs="宋体"/>
          <w:b/>
          <w:snapToGrid w:val="0"/>
          <w:color w:val="auto"/>
          <w:szCs w:val="21"/>
          <w:highlight w:val="none"/>
        </w:rPr>
        <w:t>招标内容</w:t>
      </w:r>
      <w:bookmarkEnd w:id="89"/>
      <w:bookmarkEnd w:id="90"/>
      <w:bookmarkEnd w:id="91"/>
      <w:bookmarkEnd w:id="92"/>
      <w:bookmarkEnd w:id="93"/>
    </w:p>
    <w:p w14:paraId="52F1DD08">
      <w:pPr>
        <w:tabs>
          <w:tab w:val="left" w:pos="1406"/>
        </w:tabs>
        <w:spacing w:line="360" w:lineRule="auto"/>
        <w:ind w:left="708" w:leftChars="29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本次招标内容为</w:t>
      </w:r>
      <w:r>
        <w:rPr>
          <w:rFonts w:hint="eastAsia" w:hAnsi="宋体" w:cs="宋体"/>
          <w:color w:val="auto"/>
          <w:sz w:val="21"/>
          <w:szCs w:val="21"/>
          <w:highlight w:val="none"/>
          <w:lang w:val="en-US" w:eastAsia="zh-CN"/>
        </w:rPr>
        <w:t>亚创研究院实验室家具</w:t>
      </w:r>
      <w:r>
        <w:rPr>
          <w:rFonts w:hint="eastAsia" w:ascii="宋体" w:hAnsi="宋体" w:eastAsia="宋体" w:cs="宋体"/>
          <w:color w:val="auto"/>
          <w:sz w:val="21"/>
          <w:szCs w:val="21"/>
          <w:highlight w:val="none"/>
        </w:rPr>
        <w:t>采购及安装工程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具体范围详见</w:t>
      </w:r>
      <w:r>
        <w:rPr>
          <w:rFonts w:hint="eastAsia" w:ascii="宋体" w:hAnsi="宋体" w:eastAsia="宋体" w:cs="宋体"/>
          <w:color w:val="auto"/>
          <w:sz w:val="21"/>
          <w:szCs w:val="21"/>
          <w:highlight w:val="none"/>
          <w:lang w:val="en-US" w:eastAsia="zh-CN"/>
        </w:rPr>
        <w:t>图纸及招标</w:t>
      </w:r>
      <w:r>
        <w:rPr>
          <w:rFonts w:hint="eastAsia" w:ascii="宋体" w:hAnsi="宋体" w:eastAsia="宋体" w:cs="宋体"/>
          <w:color w:val="auto"/>
          <w:sz w:val="21"/>
          <w:szCs w:val="21"/>
          <w:highlight w:val="none"/>
        </w:rPr>
        <w:t>清单；</w:t>
      </w:r>
    </w:p>
    <w:p w14:paraId="71EFE608">
      <w:pPr>
        <w:keepNext/>
        <w:numPr>
          <w:ilvl w:val="0"/>
          <w:numId w:val="0"/>
        </w:numPr>
        <w:tabs>
          <w:tab w:val="left" w:pos="709"/>
        </w:tabs>
        <w:snapToGrid w:val="0"/>
        <w:spacing w:line="360" w:lineRule="auto"/>
        <w:ind w:left="482" w:leftChars="0" w:hanging="425" w:firstLineChars="0"/>
        <w:rPr>
          <w:rFonts w:hint="eastAsia" w:ascii="宋体" w:hAnsi="宋体" w:eastAsia="宋体" w:cs="宋体"/>
          <w:b/>
          <w:snapToGrid w:val="0"/>
          <w:color w:val="auto"/>
          <w:szCs w:val="21"/>
          <w:highlight w:val="none"/>
        </w:rPr>
      </w:pPr>
      <w:bookmarkStart w:id="97" w:name="_Toc11081122"/>
      <w:bookmarkStart w:id="98" w:name="_Toc362441703"/>
      <w:bookmarkStart w:id="99" w:name="_Toc17943"/>
      <w:bookmarkStart w:id="100" w:name="_Toc30778"/>
      <w:bookmarkStart w:id="101" w:name="_Toc481596023"/>
      <w:r>
        <w:rPr>
          <w:rFonts w:hint="eastAsia" w:hAnsi="宋体" w:cs="宋体"/>
          <w:b/>
          <w:snapToGrid w:val="0"/>
          <w:color w:val="auto"/>
          <w:sz w:val="24"/>
          <w:szCs w:val="21"/>
          <w:lang w:val="en-US" w:eastAsia="zh-CN" w:bidi="ar-SA"/>
        </w:rPr>
        <w:t>3.</w:t>
      </w:r>
      <w:r>
        <w:rPr>
          <w:rFonts w:hint="eastAsia" w:ascii="宋体" w:hAnsi="宋体" w:eastAsia="宋体" w:cs="宋体"/>
          <w:b/>
          <w:snapToGrid w:val="0"/>
          <w:color w:val="auto"/>
          <w:szCs w:val="21"/>
          <w:highlight w:val="none"/>
        </w:rPr>
        <w:t>工期及质量要求</w:t>
      </w:r>
      <w:bookmarkEnd w:id="97"/>
      <w:bookmarkEnd w:id="98"/>
      <w:bookmarkEnd w:id="99"/>
      <w:bookmarkEnd w:id="100"/>
      <w:bookmarkEnd w:id="101"/>
    </w:p>
    <w:p w14:paraId="6DA1B381">
      <w:pPr>
        <w:pStyle w:val="67"/>
        <w:numPr>
          <w:ilvl w:val="0"/>
          <w:numId w:val="6"/>
        </w:numPr>
        <w:tabs>
          <w:tab w:val="left" w:pos="709"/>
        </w:tabs>
        <w:spacing w:line="360" w:lineRule="auto"/>
        <w:ind w:left="0" w:firstLine="422"/>
        <w:rPr>
          <w:rFonts w:hint="eastAsia" w:ascii="宋体" w:hAnsi="宋体" w:eastAsia="宋体" w:cs="宋体"/>
          <w:b w:val="0"/>
          <w:bCs/>
          <w:color w:val="auto"/>
          <w:kern w:val="0"/>
          <w:szCs w:val="21"/>
          <w:highlight w:val="none"/>
        </w:rPr>
      </w:pPr>
      <w:r>
        <w:rPr>
          <w:rFonts w:hint="eastAsia" w:ascii="宋体" w:hAnsi="宋体" w:eastAsia="宋体" w:cs="宋体"/>
          <w:b w:val="0"/>
          <w:bCs/>
          <w:color w:val="auto"/>
          <w:kern w:val="0"/>
          <w:szCs w:val="21"/>
          <w:highlight w:val="none"/>
        </w:rPr>
        <w:t>总工期</w:t>
      </w:r>
    </w:p>
    <w:p w14:paraId="361AC21B">
      <w:pPr>
        <w:widowControl/>
        <w:tabs>
          <w:tab w:val="left" w:pos="1701"/>
        </w:tabs>
        <w:autoSpaceDE w:val="0"/>
        <w:autoSpaceDN w:val="0"/>
        <w:spacing w:line="30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 xml:space="preserve">   </w:t>
      </w:r>
      <w:r>
        <w:rPr>
          <w:rFonts w:hint="eastAsia" w:hAnsi="宋体" w:cs="宋体"/>
          <w:b w:val="0"/>
          <w:bCs/>
          <w:color w:val="auto"/>
          <w:sz w:val="21"/>
          <w:szCs w:val="21"/>
          <w:highlight w:val="none"/>
          <w:lang w:val="en-US" w:eastAsia="zh-CN"/>
        </w:rPr>
        <w:t>32</w:t>
      </w:r>
      <w:r>
        <w:rPr>
          <w:rFonts w:hint="eastAsia" w:ascii="宋体" w:hAnsi="宋体" w:eastAsia="宋体" w:cs="宋体"/>
          <w:b w:val="0"/>
          <w:bCs/>
          <w:color w:val="auto"/>
          <w:sz w:val="21"/>
          <w:szCs w:val="21"/>
          <w:highlight w:val="none"/>
        </w:rPr>
        <w:t>日历天</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其中：</w:t>
      </w:r>
    </w:p>
    <w:p w14:paraId="711F1C78">
      <w:pPr>
        <w:widowControl/>
        <w:tabs>
          <w:tab w:val="left" w:pos="1701"/>
        </w:tabs>
        <w:autoSpaceDE w:val="0"/>
        <w:autoSpaceDN w:val="0"/>
        <w:spacing w:line="30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r>
        <w:rPr>
          <w:rFonts w:hint="eastAsia" w:hAnsi="宋体" w:cs="宋体"/>
          <w:b w:val="0"/>
          <w:bCs/>
          <w:color w:val="auto"/>
          <w:sz w:val="21"/>
          <w:szCs w:val="21"/>
          <w:highlight w:val="none"/>
          <w:lang w:val="en-US" w:eastAsia="zh-CN"/>
        </w:rPr>
        <w:t>实验室家具</w:t>
      </w:r>
      <w:r>
        <w:rPr>
          <w:rFonts w:hint="eastAsia" w:ascii="宋体" w:hAnsi="宋体" w:eastAsia="宋体" w:cs="宋体"/>
          <w:b w:val="0"/>
          <w:bCs/>
          <w:color w:val="auto"/>
          <w:sz w:val="21"/>
          <w:szCs w:val="21"/>
          <w:highlight w:val="none"/>
          <w:lang w:val="en-US" w:eastAsia="zh-CN"/>
        </w:rPr>
        <w:t>生产：</w:t>
      </w:r>
      <w:r>
        <w:rPr>
          <w:rFonts w:hint="eastAsia" w:hAnsi="宋体" w:cs="宋体"/>
          <w:b w:val="0"/>
          <w:bCs/>
          <w:color w:val="auto"/>
          <w:sz w:val="21"/>
          <w:szCs w:val="21"/>
          <w:highlight w:val="none"/>
          <w:lang w:val="en-US" w:eastAsia="zh-CN"/>
        </w:rPr>
        <w:t>25</w:t>
      </w:r>
      <w:r>
        <w:rPr>
          <w:rFonts w:hint="eastAsia" w:ascii="宋体" w:hAnsi="宋体" w:eastAsia="宋体" w:cs="宋体"/>
          <w:b w:val="0"/>
          <w:bCs/>
          <w:color w:val="auto"/>
          <w:sz w:val="21"/>
          <w:szCs w:val="21"/>
          <w:highlight w:val="none"/>
          <w:lang w:val="en-US" w:eastAsia="zh-CN"/>
        </w:rPr>
        <w:t>天；</w:t>
      </w:r>
    </w:p>
    <w:p w14:paraId="34D41BCF">
      <w:pPr>
        <w:tabs>
          <w:tab w:val="left" w:pos="1406"/>
        </w:tabs>
        <w:adjustRightInd/>
        <w:spacing w:line="360" w:lineRule="auto"/>
        <w:ind w:firstLine="420" w:firstLineChars="20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（2）安装调试：</w:t>
      </w:r>
      <w:r>
        <w:rPr>
          <w:rFonts w:hint="eastAsia" w:hAnsi="宋体" w:cs="宋体"/>
          <w:b w:val="0"/>
          <w:bCs/>
          <w:color w:val="auto"/>
          <w:sz w:val="21"/>
          <w:szCs w:val="21"/>
          <w:highlight w:val="none"/>
          <w:lang w:val="en-US" w:eastAsia="zh-CN"/>
        </w:rPr>
        <w:t>7</w:t>
      </w:r>
      <w:r>
        <w:rPr>
          <w:rFonts w:hint="eastAsia" w:ascii="宋体" w:hAnsi="宋体" w:eastAsia="宋体" w:cs="宋体"/>
          <w:b w:val="0"/>
          <w:bCs/>
          <w:color w:val="auto"/>
          <w:sz w:val="21"/>
          <w:szCs w:val="21"/>
          <w:highlight w:val="none"/>
          <w:lang w:val="en-US" w:eastAsia="zh-CN"/>
        </w:rPr>
        <w:t>天。</w:t>
      </w:r>
    </w:p>
    <w:p w14:paraId="1A3B703A">
      <w:pPr>
        <w:tabs>
          <w:tab w:val="left" w:pos="1406"/>
        </w:tabs>
        <w:adjustRightInd/>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计划</w:t>
      </w:r>
      <w:r>
        <w:rPr>
          <w:rFonts w:hint="eastAsia" w:ascii="宋体" w:hAnsi="宋体" w:eastAsia="宋体" w:cs="宋体"/>
          <w:color w:val="auto"/>
          <w:sz w:val="21"/>
          <w:szCs w:val="21"/>
          <w:highlight w:val="none"/>
        </w:rPr>
        <w:t>开工日期：</w:t>
      </w:r>
      <w:bookmarkStart w:id="102" w:name="_Hlk106266510"/>
      <w:r>
        <w:rPr>
          <w:rFonts w:hint="eastAsia" w:ascii="宋体" w:hAnsi="宋体" w:eastAsia="宋体" w:cs="宋体"/>
          <w:b/>
          <w:bCs/>
          <w:color w:val="auto"/>
          <w:sz w:val="20"/>
          <w:szCs w:val="20"/>
          <w:highlight w:val="none"/>
          <w:u w:val="single"/>
        </w:rPr>
        <w:t>202</w:t>
      </w:r>
      <w:r>
        <w:rPr>
          <w:rFonts w:hint="eastAsia" w:ascii="宋体" w:hAnsi="宋体" w:eastAsia="宋体" w:cs="宋体"/>
          <w:b/>
          <w:bCs/>
          <w:color w:val="auto"/>
          <w:sz w:val="20"/>
          <w:szCs w:val="20"/>
          <w:highlight w:val="none"/>
          <w:u w:val="single"/>
          <w:lang w:val="en-US" w:eastAsia="zh-CN"/>
        </w:rPr>
        <w:t>6</w:t>
      </w:r>
      <w:r>
        <w:rPr>
          <w:rFonts w:hint="eastAsia" w:ascii="宋体" w:hAnsi="宋体" w:eastAsia="宋体" w:cs="宋体"/>
          <w:color w:val="auto"/>
          <w:sz w:val="20"/>
          <w:szCs w:val="20"/>
          <w:highlight w:val="none"/>
        </w:rPr>
        <w:t>年</w:t>
      </w:r>
      <w:r>
        <w:rPr>
          <w:rFonts w:hint="eastAsia" w:ascii="宋体" w:hAnsi="宋体" w:eastAsia="宋体" w:cs="宋体"/>
          <w:b/>
          <w:bCs/>
          <w:color w:val="auto"/>
          <w:sz w:val="20"/>
          <w:szCs w:val="20"/>
          <w:highlight w:val="none"/>
          <w:u w:val="single"/>
          <w:lang w:val="en-US" w:eastAsia="zh-CN"/>
        </w:rPr>
        <w:t xml:space="preserve">  </w:t>
      </w:r>
      <w:r>
        <w:rPr>
          <w:rFonts w:hint="eastAsia" w:hAnsi="宋体" w:cs="宋体"/>
          <w:b/>
          <w:bCs/>
          <w:color w:val="auto"/>
          <w:sz w:val="20"/>
          <w:szCs w:val="20"/>
          <w:highlight w:val="none"/>
          <w:u w:val="single"/>
          <w:lang w:val="en-US" w:eastAsia="zh-CN"/>
        </w:rPr>
        <w:t>9</w:t>
      </w:r>
      <w:r>
        <w:rPr>
          <w:rFonts w:hint="eastAsia" w:ascii="宋体" w:hAnsi="宋体" w:eastAsia="宋体" w:cs="宋体"/>
          <w:b/>
          <w:bCs/>
          <w:color w:val="auto"/>
          <w:sz w:val="20"/>
          <w:szCs w:val="20"/>
          <w:highlight w:val="none"/>
          <w:u w:val="single"/>
          <w:lang w:val="en-US" w:eastAsia="zh-CN"/>
        </w:rPr>
        <w:t xml:space="preserve"> </w:t>
      </w:r>
      <w:r>
        <w:rPr>
          <w:rFonts w:hint="eastAsia" w:ascii="宋体" w:hAnsi="宋体" w:eastAsia="宋体" w:cs="宋体"/>
          <w:color w:val="auto"/>
          <w:sz w:val="20"/>
          <w:szCs w:val="20"/>
          <w:highlight w:val="none"/>
        </w:rPr>
        <w:t>月</w:t>
      </w:r>
      <w:r>
        <w:rPr>
          <w:rFonts w:hint="eastAsia" w:ascii="宋体" w:hAnsi="宋体" w:eastAsia="宋体" w:cs="宋体"/>
          <w:b/>
          <w:bCs/>
          <w:color w:val="auto"/>
          <w:sz w:val="20"/>
          <w:szCs w:val="20"/>
          <w:highlight w:val="none"/>
          <w:u w:val="single"/>
          <w:lang w:val="en-US" w:eastAsia="zh-CN"/>
        </w:rPr>
        <w:t xml:space="preserve">  1 </w:t>
      </w:r>
      <w:r>
        <w:rPr>
          <w:rFonts w:hint="eastAsia" w:ascii="宋体" w:hAnsi="宋体" w:eastAsia="宋体" w:cs="宋体"/>
          <w:color w:val="auto"/>
          <w:sz w:val="20"/>
          <w:szCs w:val="20"/>
          <w:highlight w:val="none"/>
        </w:rPr>
        <w:t>日</w:t>
      </w:r>
      <w:bookmarkEnd w:id="102"/>
      <w:r>
        <w:rPr>
          <w:rFonts w:hint="eastAsia" w:ascii="宋体" w:hAnsi="宋体" w:eastAsia="宋体" w:cs="宋体"/>
          <w:color w:val="auto"/>
          <w:sz w:val="21"/>
          <w:szCs w:val="21"/>
          <w:highlight w:val="none"/>
        </w:rPr>
        <w:t>；具体日期以招标方书面</w:t>
      </w:r>
      <w:r>
        <w:rPr>
          <w:rFonts w:hint="eastAsia" w:ascii="宋体" w:hAnsi="宋体" w:eastAsia="宋体" w:cs="宋体"/>
          <w:color w:val="auto"/>
          <w:sz w:val="21"/>
          <w:szCs w:val="21"/>
          <w:highlight w:val="none"/>
          <w:lang w:val="en-US" w:eastAsia="zh-CN"/>
        </w:rPr>
        <w:t>排产</w:t>
      </w:r>
      <w:r>
        <w:rPr>
          <w:rFonts w:hint="eastAsia" w:ascii="宋体" w:hAnsi="宋体" w:eastAsia="宋体" w:cs="宋体"/>
          <w:color w:val="auto"/>
          <w:sz w:val="21"/>
          <w:szCs w:val="21"/>
          <w:highlight w:val="none"/>
        </w:rPr>
        <w:t>通知为准。</w:t>
      </w:r>
    </w:p>
    <w:p w14:paraId="1F7C93E6">
      <w:pPr>
        <w:tabs>
          <w:tab w:val="left" w:pos="709"/>
        </w:tabs>
        <w:adjustRightInd/>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总工期及各阶段工期必须满足招标方施工进度要求。招标方有权根据项目实际情况调整相关工期，投标方须无条件予以配合、执行，并按照合同约定按期、保质</w:t>
      </w:r>
      <w:r>
        <w:rPr>
          <w:rFonts w:hint="eastAsia" w:ascii="宋体" w:hAnsi="宋体" w:eastAsia="宋体" w:cs="宋体"/>
          <w:color w:val="auto"/>
          <w:sz w:val="21"/>
          <w:szCs w:val="21"/>
          <w:highlight w:val="none"/>
          <w:lang w:eastAsia="zh-CN"/>
        </w:rPr>
        <w:t>地</w:t>
      </w:r>
      <w:r>
        <w:rPr>
          <w:rFonts w:hint="eastAsia" w:ascii="宋体" w:hAnsi="宋体" w:eastAsia="宋体" w:cs="宋体"/>
          <w:color w:val="auto"/>
          <w:sz w:val="21"/>
          <w:szCs w:val="21"/>
          <w:highlight w:val="none"/>
        </w:rPr>
        <w:t>完成施工任务。</w:t>
      </w:r>
    </w:p>
    <w:p w14:paraId="4A4AF3C6">
      <w:pPr>
        <w:tabs>
          <w:tab w:val="left" w:pos="709"/>
        </w:tabs>
        <w:adjustRightInd/>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上述工期包括进场准备、公休、法定节假日及春节假期、恶劣天气等，已充分考虑了施工期间可能遇到的停水及停电等因素。</w:t>
      </w:r>
    </w:p>
    <w:p w14:paraId="7D74F5D4">
      <w:pPr>
        <w:pStyle w:val="67"/>
        <w:numPr>
          <w:ilvl w:val="0"/>
          <w:numId w:val="6"/>
        </w:numPr>
        <w:tabs>
          <w:tab w:val="left" w:pos="709"/>
        </w:tabs>
        <w:spacing w:line="360" w:lineRule="auto"/>
        <w:ind w:left="0" w:firstLine="422"/>
        <w:rPr>
          <w:rFonts w:hint="eastAsia" w:ascii="宋体" w:hAnsi="宋体" w:eastAsia="宋体" w:cs="宋体"/>
          <w:b w:val="0"/>
          <w:bCs/>
          <w:color w:val="auto"/>
          <w:kern w:val="0"/>
          <w:szCs w:val="21"/>
          <w:highlight w:val="none"/>
        </w:rPr>
      </w:pPr>
      <w:r>
        <w:rPr>
          <w:rFonts w:hint="eastAsia" w:ascii="宋体" w:hAnsi="宋体" w:eastAsia="宋体" w:cs="宋体"/>
          <w:b w:val="0"/>
          <w:bCs/>
          <w:color w:val="auto"/>
          <w:kern w:val="0"/>
          <w:szCs w:val="21"/>
          <w:highlight w:val="none"/>
        </w:rPr>
        <w:t>质量要求</w:t>
      </w:r>
    </w:p>
    <w:p w14:paraId="7E381FFF">
      <w:pPr>
        <w:tabs>
          <w:tab w:val="left" w:pos="1406"/>
        </w:tabs>
        <w:adjustRightInd/>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符合国家、地方、行业规范以及招标文件</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要求，达到质量合格要求</w:t>
      </w:r>
    </w:p>
    <w:bookmarkEnd w:id="94"/>
    <w:bookmarkEnd w:id="95"/>
    <w:bookmarkEnd w:id="96"/>
    <w:p w14:paraId="51F219B6">
      <w:pPr>
        <w:keepNext/>
        <w:numPr>
          <w:ilvl w:val="0"/>
          <w:numId w:val="0"/>
        </w:numPr>
        <w:tabs>
          <w:tab w:val="left" w:pos="709"/>
        </w:tabs>
        <w:snapToGrid w:val="0"/>
        <w:spacing w:line="360" w:lineRule="auto"/>
        <w:ind w:left="482" w:leftChars="0" w:hanging="425" w:firstLineChars="0"/>
        <w:rPr>
          <w:rFonts w:hint="eastAsia" w:ascii="宋体" w:hAnsi="宋体" w:eastAsia="宋体" w:cs="宋体"/>
          <w:b/>
          <w:snapToGrid w:val="0"/>
          <w:color w:val="auto"/>
          <w:szCs w:val="21"/>
          <w:highlight w:val="none"/>
        </w:rPr>
      </w:pPr>
      <w:bookmarkStart w:id="103" w:name="_Toc162409983"/>
      <w:bookmarkStart w:id="104" w:name="_Toc10478"/>
      <w:bookmarkStart w:id="105" w:name="_Toc216695515"/>
      <w:bookmarkStart w:id="106" w:name="_Toc11081123"/>
      <w:bookmarkStart w:id="107" w:name="_Toc162409843"/>
      <w:bookmarkStart w:id="108" w:name="_Toc481596024"/>
      <w:bookmarkStart w:id="109" w:name="_Toc362441705"/>
      <w:bookmarkStart w:id="110" w:name="_Toc23367"/>
      <w:r>
        <w:rPr>
          <w:rFonts w:hint="eastAsia" w:ascii="宋体" w:hAnsi="宋体" w:eastAsia="宋体" w:cs="宋体"/>
          <w:b/>
          <w:snapToGrid w:val="0"/>
          <w:color w:val="auto"/>
          <w:sz w:val="24"/>
          <w:szCs w:val="21"/>
          <w:lang w:val="en-US" w:eastAsia="zh-CN" w:bidi="ar-SA"/>
        </w:rPr>
        <w:t>4</w:t>
      </w:r>
      <w:r>
        <w:rPr>
          <w:rFonts w:hint="eastAsia" w:hAnsi="宋体" w:cs="宋体"/>
          <w:b/>
          <w:snapToGrid w:val="0"/>
          <w:color w:val="auto"/>
          <w:sz w:val="24"/>
          <w:szCs w:val="21"/>
          <w:lang w:val="en-US" w:eastAsia="zh-CN" w:bidi="ar-SA"/>
        </w:rPr>
        <w:t>.</w:t>
      </w:r>
      <w:r>
        <w:rPr>
          <w:rFonts w:hint="eastAsia" w:ascii="宋体" w:hAnsi="宋体" w:eastAsia="宋体" w:cs="宋体"/>
          <w:b/>
          <w:snapToGrid w:val="0"/>
          <w:color w:val="auto"/>
          <w:szCs w:val="21"/>
          <w:highlight w:val="none"/>
        </w:rPr>
        <w:t>现场踏勘</w:t>
      </w:r>
      <w:bookmarkEnd w:id="103"/>
      <w:bookmarkEnd w:id="104"/>
      <w:bookmarkEnd w:id="105"/>
      <w:bookmarkEnd w:id="106"/>
      <w:bookmarkEnd w:id="107"/>
      <w:bookmarkEnd w:id="108"/>
      <w:bookmarkEnd w:id="109"/>
      <w:bookmarkEnd w:id="110"/>
    </w:p>
    <w:p w14:paraId="62CC3100">
      <w:pPr>
        <w:pStyle w:val="67"/>
        <w:numPr>
          <w:ilvl w:val="0"/>
          <w:numId w:val="7"/>
        </w:numPr>
        <w:spacing w:line="360" w:lineRule="auto"/>
        <w:ind w:left="0" w:firstLine="42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投标人应在</w:t>
      </w:r>
      <w:r>
        <w:rPr>
          <w:rFonts w:hint="eastAsia" w:ascii="宋体" w:hAnsi="宋体" w:eastAsia="宋体" w:cs="宋体"/>
          <w:b/>
          <w:bCs/>
          <w:color w:val="auto"/>
          <w:kern w:val="0"/>
          <w:szCs w:val="21"/>
          <w:highlight w:val="none"/>
          <w:u w:val="single"/>
          <w:lang w:val="en-US" w:eastAsia="zh-CN"/>
        </w:rPr>
        <w:t>投标截止</w:t>
      </w:r>
      <w:r>
        <w:rPr>
          <w:rFonts w:hint="eastAsia" w:ascii="宋体" w:hAnsi="宋体" w:eastAsia="宋体" w:cs="宋体"/>
          <w:b/>
          <w:bCs/>
          <w:color w:val="auto"/>
          <w:kern w:val="0"/>
          <w:szCs w:val="21"/>
          <w:highlight w:val="none"/>
          <w:u w:val="single"/>
        </w:rPr>
        <w:t>日</w:t>
      </w:r>
      <w:r>
        <w:rPr>
          <w:rFonts w:hint="eastAsia" w:ascii="宋体" w:hAnsi="宋体" w:eastAsia="宋体" w:cs="宋体"/>
          <w:color w:val="auto"/>
          <w:kern w:val="0"/>
          <w:szCs w:val="21"/>
          <w:highlight w:val="none"/>
        </w:rPr>
        <w:t>前对本工程现场及周围环境踏勘，以便获取投标人编制投标文件和签署合同所需的所有资料。无论投标人是否踏勘过现场，均被认为在递交投标文件之前已经踏勘现场，对本合同项目的风险和义务已经十分了解，并在其投标文件中已充分考虑了现场和环境条件，踏勘现场所发生的费用由投标人自行承担。</w:t>
      </w:r>
    </w:p>
    <w:p w14:paraId="2475A8EB">
      <w:pPr>
        <w:pStyle w:val="67"/>
        <w:numPr>
          <w:ilvl w:val="0"/>
          <w:numId w:val="7"/>
        </w:numPr>
        <w:spacing w:line="360" w:lineRule="auto"/>
        <w:ind w:left="0" w:firstLine="42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招标人向投标人提供的有关现场的资料和数据（具体数</w:t>
      </w:r>
      <w:r>
        <w:rPr>
          <w:rFonts w:hint="eastAsia" w:ascii="宋体" w:hAnsi="宋体" w:eastAsia="宋体" w:cs="宋体"/>
          <w:color w:val="auto"/>
          <w:kern w:val="0"/>
          <w:szCs w:val="21"/>
          <w:highlight w:val="none"/>
          <w:lang w:eastAsia="zh-CN"/>
        </w:rPr>
        <w:t>据由</w:t>
      </w:r>
      <w:r>
        <w:rPr>
          <w:rFonts w:hint="eastAsia" w:ascii="宋体" w:hAnsi="宋体" w:eastAsia="宋体" w:cs="宋体"/>
          <w:color w:val="auto"/>
          <w:kern w:val="0"/>
          <w:szCs w:val="21"/>
          <w:highlight w:val="none"/>
        </w:rPr>
        <w:t>投标人自行核实真实性），是招标人现有的能提供给投标人参考的资料，招标人对投标人由此做出的推论、理解和结论概不负责。</w:t>
      </w:r>
    </w:p>
    <w:p w14:paraId="5EB96150">
      <w:pPr>
        <w:pStyle w:val="67"/>
        <w:numPr>
          <w:ilvl w:val="0"/>
          <w:numId w:val="7"/>
        </w:numPr>
        <w:spacing w:line="360" w:lineRule="auto"/>
        <w:ind w:left="0" w:firstLine="42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人及其人员经过招标人的允许，以踏勘目的进入招标人的工程现场，不得因此使招标人及其人员承担有关的责任和遭受损失，同时投标人应对由此次踏勘现场而造成的人员死亡、人身伤害、财产损失、损害以及任何</w:t>
      </w:r>
      <w:r>
        <w:rPr>
          <w:rFonts w:hint="eastAsia" w:ascii="宋体" w:hAnsi="宋体" w:cs="宋体"/>
          <w:color w:val="auto"/>
          <w:kern w:val="0"/>
          <w:szCs w:val="21"/>
          <w:highlight w:val="none"/>
          <w:lang w:val="en-US" w:eastAsia="zh-CN"/>
        </w:rPr>
        <w:t>其他</w:t>
      </w:r>
      <w:r>
        <w:rPr>
          <w:rFonts w:hint="eastAsia" w:ascii="宋体" w:hAnsi="宋体" w:eastAsia="宋体" w:cs="宋体"/>
          <w:color w:val="auto"/>
          <w:kern w:val="0"/>
          <w:szCs w:val="21"/>
          <w:highlight w:val="none"/>
        </w:rPr>
        <w:t>损失、损害和引起的费用、开支承担全部责任。</w:t>
      </w:r>
    </w:p>
    <w:p w14:paraId="7C4E655A">
      <w:pPr>
        <w:pStyle w:val="67"/>
        <w:numPr>
          <w:ilvl w:val="0"/>
          <w:numId w:val="7"/>
        </w:numPr>
        <w:spacing w:line="360" w:lineRule="auto"/>
        <w:ind w:left="0" w:firstLine="420"/>
        <w:rPr>
          <w:rFonts w:hint="eastAsia" w:ascii="宋体" w:hAnsi="宋体" w:eastAsia="宋体" w:cs="宋体"/>
          <w:b/>
          <w:snapToGrid w:val="0"/>
          <w:color w:val="auto"/>
          <w:szCs w:val="21"/>
          <w:highlight w:val="none"/>
        </w:rPr>
      </w:pPr>
      <w:r>
        <w:rPr>
          <w:rFonts w:hint="eastAsia" w:ascii="宋体" w:hAnsi="宋体" w:eastAsia="宋体" w:cs="宋体"/>
          <w:color w:val="auto"/>
          <w:kern w:val="0"/>
          <w:szCs w:val="21"/>
          <w:highlight w:val="none"/>
        </w:rPr>
        <w:t>如果投标人认为需要再次进行现场踏勘，招标人将尽可能予以支持，但所发生的费用由投标人自理。</w:t>
      </w:r>
    </w:p>
    <w:p w14:paraId="31DA9AE0">
      <w:pPr>
        <w:pStyle w:val="67"/>
        <w:numPr>
          <w:ilvl w:val="0"/>
          <w:numId w:val="0"/>
        </w:numPr>
        <w:spacing w:line="360" w:lineRule="auto"/>
        <w:rPr>
          <w:rFonts w:hint="default" w:ascii="宋体" w:hAnsi="宋体" w:eastAsia="宋体" w:cs="宋体"/>
          <w:b/>
          <w:snapToGrid w:val="0"/>
          <w:color w:val="auto"/>
          <w:sz w:val="24"/>
          <w:szCs w:val="21"/>
          <w:lang w:val="en-US" w:eastAsia="zh-CN" w:bidi="ar-SA"/>
        </w:rPr>
      </w:pPr>
    </w:p>
    <w:p w14:paraId="55792155">
      <w:pPr>
        <w:pStyle w:val="67"/>
        <w:numPr>
          <w:ilvl w:val="0"/>
          <w:numId w:val="0"/>
        </w:numPr>
        <w:spacing w:line="360" w:lineRule="auto"/>
        <w:rPr>
          <w:rFonts w:hint="default" w:ascii="宋体" w:hAnsi="宋体" w:eastAsia="宋体" w:cs="宋体"/>
          <w:b/>
          <w:snapToGrid w:val="0"/>
          <w:color w:val="auto"/>
          <w:sz w:val="24"/>
          <w:szCs w:val="21"/>
          <w:lang w:val="en-US" w:eastAsia="zh-CN" w:bidi="ar-SA"/>
        </w:rPr>
      </w:pPr>
    </w:p>
    <w:p w14:paraId="04B2438F">
      <w:pPr>
        <w:pStyle w:val="67"/>
        <w:numPr>
          <w:ilvl w:val="0"/>
          <w:numId w:val="0"/>
        </w:numPr>
        <w:spacing w:line="360" w:lineRule="auto"/>
        <w:rPr>
          <w:rFonts w:hint="default" w:ascii="宋体" w:hAnsi="宋体" w:eastAsia="宋体" w:cs="宋体"/>
          <w:b/>
          <w:snapToGrid w:val="0"/>
          <w:color w:val="auto"/>
          <w:sz w:val="24"/>
          <w:szCs w:val="21"/>
          <w:lang w:val="en-US" w:eastAsia="zh-CN" w:bidi="ar-SA"/>
        </w:rPr>
      </w:pPr>
    </w:p>
    <w:p w14:paraId="4BD6C625">
      <w:pPr>
        <w:pStyle w:val="67"/>
        <w:numPr>
          <w:ilvl w:val="0"/>
          <w:numId w:val="0"/>
        </w:numPr>
        <w:spacing w:line="360" w:lineRule="auto"/>
        <w:rPr>
          <w:rFonts w:hint="default" w:ascii="宋体" w:hAnsi="宋体" w:eastAsia="宋体" w:cs="宋体"/>
          <w:b/>
          <w:snapToGrid w:val="0"/>
          <w:color w:val="auto"/>
          <w:sz w:val="24"/>
          <w:szCs w:val="21"/>
          <w:lang w:val="en-US" w:eastAsia="zh-CN" w:bidi="ar-SA"/>
        </w:rPr>
      </w:pPr>
    </w:p>
    <w:p w14:paraId="2CB12169">
      <w:pPr>
        <w:pStyle w:val="67"/>
        <w:numPr>
          <w:ilvl w:val="0"/>
          <w:numId w:val="0"/>
        </w:numPr>
        <w:spacing w:line="360" w:lineRule="auto"/>
        <w:rPr>
          <w:rFonts w:hint="eastAsia" w:ascii="宋体" w:hAnsi="宋体" w:eastAsia="宋体" w:cs="宋体"/>
          <w:b/>
          <w:snapToGrid w:val="0"/>
          <w:color w:val="auto"/>
          <w:szCs w:val="21"/>
          <w:highlight w:val="none"/>
        </w:rPr>
      </w:pPr>
      <w:r>
        <w:rPr>
          <w:rFonts w:hint="default" w:ascii="宋体" w:hAnsi="宋体" w:eastAsia="宋体" w:cs="宋体"/>
          <w:b/>
          <w:snapToGrid w:val="0"/>
          <w:color w:val="auto"/>
          <w:sz w:val="24"/>
          <w:szCs w:val="21"/>
          <w:lang w:val="en-US" w:eastAsia="zh-CN" w:bidi="ar-SA"/>
        </w:rPr>
        <w:t>5.</w:t>
      </w:r>
      <w:r>
        <w:rPr>
          <w:rFonts w:hint="eastAsia" w:ascii="宋体" w:hAnsi="宋体" w:eastAsia="宋体" w:cs="宋体"/>
          <w:b/>
          <w:snapToGrid w:val="0"/>
          <w:color w:val="auto"/>
          <w:szCs w:val="21"/>
          <w:highlight w:val="none"/>
        </w:rPr>
        <w:t>说明</w:t>
      </w:r>
    </w:p>
    <w:p w14:paraId="2089B7FB">
      <w:pPr>
        <w:tabs>
          <w:tab w:val="left" w:pos="851"/>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5.1投标人在提交投标文件前，须对本次采购的有关技术说明、质量要求等情况已详细了解清楚，并充分考虑可能发生的一切费用。</w:t>
      </w:r>
    </w:p>
    <w:p w14:paraId="7BC8B33C">
      <w:pPr>
        <w:tabs>
          <w:tab w:val="left" w:pos="851"/>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5.2投标人在提交投标文件前，已充分考虑现场要求、材料供应、运输故障、气候影响、分标段施工、为保证工程交付进度及产品质量所采取的一切技术措施等所需的费用和工期。</w:t>
      </w:r>
    </w:p>
    <w:p w14:paraId="5C72A491">
      <w:pPr>
        <w:tabs>
          <w:tab w:val="left" w:pos="851"/>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5.3投标人须认真研究招标文件的全部内容，如果投标人的投标文件不能符合招标文件的要求，投标文件将被拒绝。</w:t>
      </w:r>
    </w:p>
    <w:p w14:paraId="5807CE70">
      <w:pPr>
        <w:tabs>
          <w:tab w:val="left" w:pos="851"/>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5.4此招标文件、招标文件补充说明、附件变更及招标答疑会会议纪要等均为投标人编制投标书的重要依据，亦为日后签订合同的重要依据，与合同具有同等法律效力，望投标人予以重视。</w:t>
      </w:r>
    </w:p>
    <w:p w14:paraId="1BEFCABC">
      <w:pPr>
        <w:tabs>
          <w:tab w:val="left" w:pos="851"/>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5.5投标人在参加本工程招标活动中，必须由本企业的法定代表人或法定代表人的委托人参加，不得委派其他人员参加，若有发现均按中途退标处理。</w:t>
      </w:r>
    </w:p>
    <w:p w14:paraId="2D157308">
      <w:pPr>
        <w:tabs>
          <w:tab w:val="left" w:pos="851"/>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5.6投标人应按招标文件规定的日程安排，准时参加招标各项活动，并在投标时递交应验的法定代表人或法定代表人的委托人的证明书。</w:t>
      </w:r>
    </w:p>
    <w:p w14:paraId="74C615C2">
      <w:pPr>
        <w:tabs>
          <w:tab w:val="left" w:pos="851"/>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5.7投标人一旦向招标方正式递交投标文件，则视为接受招标方在招标文件中提出的所有要求，包括合</w:t>
      </w:r>
      <w:r>
        <w:rPr>
          <w:rFonts w:hint="eastAsia" w:hAnsi="宋体" w:cs="宋体"/>
          <w:color w:val="auto"/>
          <w:sz w:val="21"/>
          <w:szCs w:val="21"/>
          <w:highlight w:val="none"/>
          <w:lang w:eastAsia="zh-CN"/>
        </w:rPr>
        <w:t>同</w:t>
      </w:r>
      <w:r>
        <w:rPr>
          <w:rFonts w:hint="eastAsia" w:ascii="宋体" w:hAnsi="宋体" w:eastAsia="宋体" w:cs="宋体"/>
          <w:color w:val="auto"/>
          <w:sz w:val="21"/>
          <w:szCs w:val="21"/>
          <w:highlight w:val="none"/>
        </w:rPr>
        <w:t>、技术标准等。一旦中标，投标人不得以任何</w:t>
      </w:r>
      <w:r>
        <w:rPr>
          <w:rFonts w:hint="eastAsia" w:ascii="宋体" w:hAnsi="宋体" w:eastAsia="宋体" w:cs="宋体"/>
          <w:color w:val="auto"/>
          <w:sz w:val="21"/>
          <w:szCs w:val="21"/>
          <w:highlight w:val="none"/>
          <w:lang w:val="en-US" w:eastAsia="zh-CN"/>
        </w:rPr>
        <w:t>借</w:t>
      </w:r>
      <w:r>
        <w:rPr>
          <w:rFonts w:hint="eastAsia" w:ascii="宋体" w:hAnsi="宋体" w:eastAsia="宋体" w:cs="宋体"/>
          <w:color w:val="auto"/>
          <w:sz w:val="21"/>
          <w:szCs w:val="21"/>
          <w:highlight w:val="none"/>
        </w:rPr>
        <w:t>口提出包括调整报价、工期延长、改变协议条款、调整技术标准等要求，若提出要求，招标方不做任何考虑并保留取消投标人中标的资格。</w:t>
      </w:r>
    </w:p>
    <w:p w14:paraId="60EE9F58">
      <w:pPr>
        <w:pStyle w:val="29"/>
        <w:numPr>
          <w:ilvl w:val="0"/>
          <w:numId w:val="0"/>
        </w:numPr>
        <w:tabs>
          <w:tab w:val="left" w:pos="851"/>
        </w:tabs>
        <w:ind w:firstLine="420" w:firstLineChars="200"/>
        <w:rPr>
          <w:rFonts w:hint="eastAsia" w:ascii="宋体" w:hAnsi="宋体" w:eastAsia="宋体" w:cs="宋体"/>
          <w:b w:val="0"/>
          <w:color w:val="auto"/>
          <w:sz w:val="21"/>
          <w:szCs w:val="21"/>
          <w:highlight w:val="none"/>
          <w:lang w:val="en-US" w:eastAsia="zh-CN" w:bidi="ar-SA"/>
        </w:rPr>
      </w:pPr>
      <w:bookmarkStart w:id="111" w:name="_Toc351970923"/>
      <w:r>
        <w:rPr>
          <w:rFonts w:hint="eastAsia" w:ascii="宋体" w:hAnsi="宋体" w:eastAsia="宋体" w:cs="宋体"/>
          <w:b w:val="0"/>
          <w:color w:val="auto"/>
          <w:sz w:val="21"/>
          <w:szCs w:val="21"/>
          <w:highlight w:val="none"/>
          <w:lang w:val="en-US" w:eastAsia="zh-CN" w:bidi="ar-SA"/>
        </w:rPr>
        <w:t>5.8</w:t>
      </w:r>
      <w:r>
        <w:rPr>
          <w:rFonts w:hint="eastAsia" w:ascii="宋体" w:hAnsi="宋体" w:eastAsia="宋体" w:cs="宋体"/>
          <w:b/>
          <w:bCs/>
          <w:color w:val="auto"/>
          <w:sz w:val="21"/>
          <w:szCs w:val="21"/>
          <w:highlight w:val="none"/>
          <w:lang w:val="en-US" w:eastAsia="zh-CN" w:bidi="ar-SA"/>
        </w:rPr>
        <w:t>投标费用</w:t>
      </w:r>
      <w:bookmarkEnd w:id="111"/>
      <w:r>
        <w:rPr>
          <w:rFonts w:hint="eastAsia" w:ascii="宋体" w:hAnsi="宋体" w:eastAsia="宋体" w:cs="宋体"/>
          <w:b/>
          <w:bCs/>
          <w:color w:val="auto"/>
          <w:sz w:val="21"/>
          <w:szCs w:val="21"/>
          <w:highlight w:val="none"/>
          <w:lang w:val="en-US" w:eastAsia="zh-CN" w:bidi="ar-SA"/>
        </w:rPr>
        <w:t>：投标人在投标过程中发生的一切费用，不论中标与否，均由投标人自行承担，招标人不对投标人因本次投标所引起的任何费用或损失负责。</w:t>
      </w:r>
    </w:p>
    <w:p w14:paraId="49E39677">
      <w:pPr>
        <w:spacing w:line="360" w:lineRule="auto"/>
        <w:rPr>
          <w:rFonts w:hint="eastAsia" w:ascii="宋体" w:hAnsi="宋体" w:eastAsia="宋体" w:cs="宋体"/>
          <w:color w:val="auto"/>
          <w:highlight w:val="none"/>
        </w:rPr>
      </w:pPr>
    </w:p>
    <w:p w14:paraId="3A4CFED1">
      <w:pPr>
        <w:spacing w:line="360" w:lineRule="auto"/>
        <w:rPr>
          <w:rFonts w:hint="eastAsia" w:ascii="宋体" w:hAnsi="宋体" w:eastAsia="宋体" w:cs="宋体"/>
          <w:color w:val="auto"/>
          <w:highlight w:val="none"/>
        </w:rPr>
      </w:pPr>
    </w:p>
    <w:p w14:paraId="11D41DD0">
      <w:pPr>
        <w:spacing w:line="360" w:lineRule="auto"/>
        <w:rPr>
          <w:rFonts w:hint="eastAsia" w:ascii="宋体" w:hAnsi="宋体" w:eastAsia="宋体" w:cs="宋体"/>
          <w:color w:val="auto"/>
          <w:highlight w:val="none"/>
        </w:rPr>
      </w:pPr>
    </w:p>
    <w:p w14:paraId="4A43E673">
      <w:pPr>
        <w:spacing w:line="360" w:lineRule="auto"/>
        <w:rPr>
          <w:rFonts w:hint="eastAsia" w:ascii="宋体" w:hAnsi="宋体" w:eastAsia="宋体" w:cs="宋体"/>
          <w:color w:val="auto"/>
          <w:highlight w:val="none"/>
        </w:rPr>
      </w:pPr>
    </w:p>
    <w:p w14:paraId="65FFDB1F">
      <w:pPr>
        <w:spacing w:line="360" w:lineRule="auto"/>
        <w:rPr>
          <w:rFonts w:hint="eastAsia" w:ascii="宋体" w:hAnsi="宋体" w:eastAsia="宋体" w:cs="宋体"/>
          <w:color w:val="auto"/>
          <w:highlight w:val="none"/>
        </w:rPr>
      </w:pPr>
    </w:p>
    <w:p w14:paraId="72B3D971">
      <w:pPr>
        <w:widowControl/>
        <w:adjustRightInd/>
        <w:spacing w:line="24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09E087E">
      <w:pPr>
        <w:pStyle w:val="2"/>
        <w:spacing w:before="360" w:beforeLines="150" w:after="360" w:afterLines="150" w:line="360" w:lineRule="auto"/>
        <w:jc w:val="center"/>
        <w:rPr>
          <w:rFonts w:hint="eastAsia" w:ascii="宋体" w:hAnsi="宋体" w:eastAsia="宋体" w:cs="宋体"/>
          <w:color w:val="auto"/>
          <w:highlight w:val="none"/>
        </w:rPr>
      </w:pPr>
      <w:bookmarkStart w:id="112" w:name="_Toc486604842"/>
      <w:r>
        <w:rPr>
          <w:rFonts w:hint="eastAsia" w:ascii="宋体" w:hAnsi="宋体" w:eastAsia="宋体" w:cs="宋体"/>
          <w:color w:val="auto"/>
          <w:sz w:val="32"/>
          <w:szCs w:val="32"/>
          <w:highlight w:val="none"/>
        </w:rPr>
        <w:t>第</w:t>
      </w:r>
      <w:r>
        <w:rPr>
          <w:rFonts w:hint="eastAsia" w:ascii="宋体" w:hAnsi="宋体" w:eastAsia="宋体" w:cs="宋体"/>
          <w:color w:val="auto"/>
          <w:sz w:val="32"/>
          <w:szCs w:val="32"/>
          <w:highlight w:val="none"/>
          <w:lang w:val="en-US" w:eastAsia="zh-CN"/>
        </w:rPr>
        <w:t>二</w:t>
      </w:r>
      <w:r>
        <w:rPr>
          <w:rFonts w:hint="eastAsia" w:ascii="宋体" w:hAnsi="宋体" w:eastAsia="宋体" w:cs="宋体"/>
          <w:color w:val="auto"/>
          <w:sz w:val="32"/>
          <w:szCs w:val="32"/>
          <w:highlight w:val="none"/>
        </w:rPr>
        <w:t>部分</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招标文件组成</w:t>
      </w:r>
      <w:bookmarkEnd w:id="112"/>
    </w:p>
    <w:p w14:paraId="76B305AA">
      <w:pPr>
        <w:keepNext/>
        <w:numPr>
          <w:ilvl w:val="0"/>
          <w:numId w:val="0"/>
        </w:numPr>
        <w:tabs>
          <w:tab w:val="left" w:pos="709"/>
        </w:tabs>
        <w:snapToGrid w:val="0"/>
        <w:spacing w:line="360" w:lineRule="auto"/>
        <w:rPr>
          <w:rFonts w:hint="eastAsia" w:ascii="宋体" w:hAnsi="宋体" w:eastAsia="宋体" w:cs="宋体"/>
          <w:b/>
          <w:snapToGrid w:val="0"/>
          <w:color w:val="auto"/>
          <w:szCs w:val="21"/>
          <w:highlight w:val="none"/>
        </w:rPr>
      </w:pPr>
      <w:bookmarkStart w:id="113" w:name="_Toc162409844"/>
      <w:bookmarkStart w:id="114" w:name="_Toc216695516"/>
      <w:bookmarkStart w:id="115" w:name="_Toc362441706"/>
      <w:bookmarkStart w:id="116" w:name="_Toc162409984"/>
      <w:bookmarkStart w:id="117" w:name="_Toc481596025"/>
      <w:r>
        <w:rPr>
          <w:rFonts w:hint="eastAsia" w:ascii="宋体" w:hAnsi="宋体" w:eastAsia="宋体" w:cs="宋体"/>
          <w:b/>
          <w:snapToGrid w:val="0"/>
          <w:color w:val="auto"/>
          <w:szCs w:val="21"/>
          <w:highlight w:val="none"/>
          <w:lang w:val="en-US" w:eastAsia="zh-CN"/>
        </w:rPr>
        <w:t>1.</w:t>
      </w:r>
      <w:r>
        <w:rPr>
          <w:rFonts w:hint="eastAsia" w:ascii="宋体" w:hAnsi="宋体" w:eastAsia="宋体" w:cs="宋体"/>
          <w:b/>
          <w:snapToGrid w:val="0"/>
          <w:color w:val="auto"/>
          <w:szCs w:val="21"/>
          <w:highlight w:val="none"/>
        </w:rPr>
        <w:t>招标文件组成</w:t>
      </w:r>
      <w:bookmarkEnd w:id="113"/>
      <w:bookmarkEnd w:id="114"/>
      <w:bookmarkEnd w:id="115"/>
      <w:bookmarkEnd w:id="116"/>
      <w:bookmarkEnd w:id="117"/>
    </w:p>
    <w:p w14:paraId="3FA309C5">
      <w:pPr>
        <w:tabs>
          <w:tab w:val="left" w:pos="851"/>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本工程招标文件包括下述内容：</w:t>
      </w:r>
      <w:r>
        <w:rPr>
          <w:rFonts w:hint="eastAsia" w:ascii="宋体" w:hAnsi="宋体" w:eastAsia="宋体" w:cs="宋体"/>
          <w:color w:val="auto"/>
          <w:sz w:val="21"/>
          <w:szCs w:val="21"/>
          <w:highlight w:val="none"/>
          <w:lang w:val="en-US" w:eastAsia="zh-CN"/>
        </w:rPr>
        <w:t xml:space="preserve"> </w:t>
      </w:r>
    </w:p>
    <w:p w14:paraId="2F451D4A">
      <w:pPr>
        <w:tabs>
          <w:tab w:val="left" w:pos="851"/>
        </w:tabs>
        <w:spacing w:line="360" w:lineRule="auto"/>
        <w:ind w:left="8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部分</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投标邀请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投标邀请书、确认回执、投标须知前附表</w:t>
      </w:r>
      <w:r>
        <w:rPr>
          <w:rFonts w:hint="eastAsia" w:ascii="宋体" w:hAnsi="宋体" w:eastAsia="宋体" w:cs="宋体"/>
          <w:color w:val="auto"/>
          <w:sz w:val="21"/>
          <w:szCs w:val="21"/>
          <w:highlight w:val="none"/>
          <w:lang w:eastAsia="zh-CN"/>
        </w:rPr>
        <w:t>）</w:t>
      </w:r>
    </w:p>
    <w:p w14:paraId="52371620">
      <w:pPr>
        <w:tabs>
          <w:tab w:val="left" w:pos="851"/>
        </w:tabs>
        <w:spacing w:line="360" w:lineRule="auto"/>
        <w:ind w:left="8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第二部分</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投标须知</w:t>
      </w:r>
    </w:p>
    <w:p w14:paraId="3F8C7D5E">
      <w:pPr>
        <w:tabs>
          <w:tab w:val="left" w:pos="851"/>
        </w:tabs>
        <w:spacing w:line="360" w:lineRule="auto"/>
        <w:ind w:left="8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第三部分</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招标文件组成</w:t>
      </w:r>
    </w:p>
    <w:p w14:paraId="6391380A">
      <w:pPr>
        <w:tabs>
          <w:tab w:val="left" w:pos="851"/>
        </w:tabs>
        <w:spacing w:line="360" w:lineRule="auto"/>
        <w:ind w:left="8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第四部分</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投标文件要求</w:t>
      </w:r>
    </w:p>
    <w:p w14:paraId="3F78EB4D">
      <w:pPr>
        <w:tabs>
          <w:tab w:val="left" w:pos="851"/>
        </w:tabs>
        <w:spacing w:line="360" w:lineRule="auto"/>
        <w:ind w:left="8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第五部分</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投标文件评审</w:t>
      </w:r>
    </w:p>
    <w:p w14:paraId="6381C4FE">
      <w:pPr>
        <w:tabs>
          <w:tab w:val="left" w:pos="851"/>
        </w:tabs>
        <w:spacing w:line="360" w:lineRule="auto"/>
        <w:ind w:left="8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第六部分</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其他说明</w:t>
      </w:r>
    </w:p>
    <w:p w14:paraId="296FA939">
      <w:pPr>
        <w:tabs>
          <w:tab w:val="left" w:pos="851"/>
        </w:tabs>
        <w:spacing w:line="360" w:lineRule="auto"/>
        <w:ind w:left="8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第七部分</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招标文件附件</w:t>
      </w:r>
    </w:p>
    <w:p w14:paraId="5D404CB0">
      <w:pPr>
        <w:tabs>
          <w:tab w:val="left" w:pos="851"/>
        </w:tabs>
        <w:spacing w:line="360" w:lineRule="auto"/>
        <w:ind w:left="8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招标文件除包括上款所述内容外，招标人以邮件形式发出的对招标文件的澄清、修改或补充内容，均为招标文件的组成部分，对招标人和投标人起约束作用。</w:t>
      </w:r>
    </w:p>
    <w:p w14:paraId="1DAD105C">
      <w:pPr>
        <w:tabs>
          <w:tab w:val="left" w:pos="851"/>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2.1投标人获取招标文件后，应仔细检查招标文件的所有内容，如有疑问应当及时向招标人提出。否则，由此引起的损失由投标人自行承担。</w:t>
      </w:r>
    </w:p>
    <w:p w14:paraId="3723AE6C">
      <w:pPr>
        <w:tabs>
          <w:tab w:val="left" w:pos="851"/>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3.1投标人应认真研读招标文件各组成部分的内容，充分阅读、了解本招标文件的各项条款规定以及投标人一旦中标后须承担的合同义务和责任；如果投标人提交的投标文件不能响应本招标文件规定的实质性要求和条件，其责任及后果由投标人自行负责。</w:t>
      </w:r>
    </w:p>
    <w:p w14:paraId="06279318">
      <w:pPr>
        <w:pStyle w:val="29"/>
        <w:numPr>
          <w:ilvl w:val="0"/>
          <w:numId w:val="0"/>
        </w:numPr>
        <w:tabs>
          <w:tab w:val="left" w:pos="851"/>
        </w:tabs>
        <w:ind w:leftChars="0"/>
        <w:rPr>
          <w:rFonts w:hint="eastAsia" w:ascii="宋体" w:hAnsi="宋体" w:eastAsia="宋体" w:cs="宋体"/>
          <w:color w:val="auto"/>
          <w:highlight w:val="none"/>
        </w:rPr>
      </w:pPr>
      <w:bookmarkStart w:id="118" w:name="_Toc216695517"/>
      <w:bookmarkStart w:id="119" w:name="_Toc162409986"/>
      <w:bookmarkStart w:id="120" w:name="_Toc162409846"/>
      <w:bookmarkStart w:id="121" w:name="_Toc362441707"/>
      <w:bookmarkStart w:id="122" w:name="_Toc481596026"/>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招标文件澄清</w:t>
      </w:r>
      <w:bookmarkEnd w:id="118"/>
      <w:bookmarkEnd w:id="119"/>
      <w:bookmarkEnd w:id="120"/>
      <w:r>
        <w:rPr>
          <w:rFonts w:hint="eastAsia" w:ascii="宋体" w:hAnsi="宋体" w:eastAsia="宋体" w:cs="宋体"/>
          <w:color w:val="auto"/>
          <w:highlight w:val="none"/>
        </w:rPr>
        <w:t>、修改及补充</w:t>
      </w:r>
      <w:bookmarkEnd w:id="121"/>
      <w:bookmarkEnd w:id="122"/>
    </w:p>
    <w:p w14:paraId="21D951F7">
      <w:pPr>
        <w:tabs>
          <w:tab w:val="left" w:pos="851"/>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2.1投标人在收到招标文件后，应仔细检查招标文件的所有内容，如有残缺或文字表述不清，图纸尺寸标注不明以及存在错、漏、缺、概念</w:t>
      </w:r>
      <w:r>
        <w:rPr>
          <w:rFonts w:hint="eastAsia" w:hAnsi="宋体" w:cs="宋体"/>
          <w:color w:val="auto"/>
          <w:sz w:val="21"/>
          <w:szCs w:val="21"/>
          <w:highlight w:val="none"/>
          <w:lang w:val="en-US" w:eastAsia="zh-CN"/>
        </w:rPr>
        <w:t>界定</w:t>
      </w:r>
      <w:r>
        <w:rPr>
          <w:rFonts w:hint="eastAsia" w:ascii="宋体" w:hAnsi="宋体" w:eastAsia="宋体" w:cs="宋体"/>
          <w:color w:val="auto"/>
          <w:sz w:val="21"/>
          <w:szCs w:val="21"/>
          <w:highlight w:val="none"/>
          <w:lang w:val="en-US" w:eastAsia="zh-CN"/>
        </w:rPr>
        <w:t>模糊和</w:t>
      </w:r>
      <w:r>
        <w:rPr>
          <w:rFonts w:hint="eastAsia" w:hAnsi="宋体" w:cs="宋体"/>
          <w:color w:val="auto"/>
          <w:sz w:val="21"/>
          <w:szCs w:val="21"/>
          <w:highlight w:val="none"/>
          <w:lang w:val="en-US" w:eastAsia="zh-CN"/>
        </w:rPr>
        <w:t>易产生</w:t>
      </w:r>
      <w:r>
        <w:rPr>
          <w:rFonts w:hint="eastAsia" w:ascii="宋体" w:hAnsi="宋体" w:eastAsia="宋体" w:cs="宋体"/>
          <w:color w:val="auto"/>
          <w:sz w:val="21"/>
          <w:szCs w:val="21"/>
          <w:highlight w:val="none"/>
          <w:lang w:val="en-US" w:eastAsia="zh-CN"/>
        </w:rPr>
        <w:t>歧义</w:t>
      </w:r>
      <w:r>
        <w:rPr>
          <w:rFonts w:hint="eastAsia" w:hAnsi="宋体" w:cs="宋体"/>
          <w:color w:val="auto"/>
          <w:sz w:val="21"/>
          <w:szCs w:val="21"/>
          <w:highlight w:val="none"/>
          <w:lang w:val="en-US" w:eastAsia="zh-CN"/>
        </w:rPr>
        <w:t>或造成理解偏差</w:t>
      </w:r>
      <w:r>
        <w:rPr>
          <w:rFonts w:hint="eastAsia" w:ascii="宋体" w:hAnsi="宋体" w:eastAsia="宋体" w:cs="宋体"/>
          <w:color w:val="auto"/>
          <w:sz w:val="21"/>
          <w:szCs w:val="21"/>
          <w:highlight w:val="none"/>
          <w:lang w:val="en-US" w:eastAsia="zh-CN"/>
        </w:rPr>
        <w:t>的内容等</w:t>
      </w:r>
      <w:r>
        <w:rPr>
          <w:rFonts w:hint="eastAsia"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应按照招标文件中关于提交书面质疑所规定的截止时间，及时向招标人提出书面质疑。招标人有关澄清招标文件的任何形式的文件都将作为招标文件的合法组成部分，对投标人起约束作用；</w:t>
      </w:r>
    </w:p>
    <w:p w14:paraId="48CE1DFA">
      <w:pPr>
        <w:tabs>
          <w:tab w:val="left" w:pos="851"/>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 对于投标人在阅读招标文件和现场踏勘中提出的疑问，投标人应在投标须知中规定的提交答疑问题截止时间前，以电子邮件形式向招标人提出澄清要求。招标人将以电子邮件形式答复（但不注明疑问来源）所有投标人。招标人对在规定的提交答疑问题截止时间后收到的任何疑问将拒绝答复。</w:t>
      </w:r>
    </w:p>
    <w:p w14:paraId="4C3459D7">
      <w:pPr>
        <w:tabs>
          <w:tab w:val="left" w:pos="851"/>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2.3如果招标人认为有必要以召开投标预备会的方式对投标人所提疑问进行解答，招标人将在举行投标预备会前通知所有投标人关于举行投标预备会的时间和地点等事宜。</w:t>
      </w:r>
    </w:p>
    <w:p w14:paraId="78EAB004">
      <w:pPr>
        <w:tabs>
          <w:tab w:val="left" w:pos="851"/>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2.4招标文件发出后，无论出于何种原因，招标人可主动地或在解答投标人提出的澄清问题时对招标文件进行修改；</w:t>
      </w:r>
    </w:p>
    <w:p w14:paraId="078899A0">
      <w:pPr>
        <w:tabs>
          <w:tab w:val="left" w:pos="851"/>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2.5招标人将对招标文件的澄清文件、修改文件或补充文件以电子邮件形式发给所有投标人。由于澄清而产生的对招标文件的任何修改，将由招标人以招标文件补充文件的方式发出。</w:t>
      </w:r>
    </w:p>
    <w:p w14:paraId="204C76D1">
      <w:pPr>
        <w:tabs>
          <w:tab w:val="left" w:pos="851"/>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2.6招标文件的澄清、修改或补充文件在解释顺序方面优先于该类文件之前的文件。当招标文件及其澄清、修改或补充文件对同一内容表述不一致时，以最后发出的电子邮件为准。</w:t>
      </w:r>
    </w:p>
    <w:p w14:paraId="43318145">
      <w:pPr>
        <w:numPr>
          <w:ilvl w:val="0"/>
          <w:numId w:val="0"/>
        </w:numPr>
        <w:tabs>
          <w:tab w:val="left" w:pos="851"/>
        </w:tabs>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2.7如果招标人对招标文件进行了修改补充，并认为有必要给予投标人充分的时间对招标文件的澄清、修改或补充等内容进行研究，招标人可能会通知所有投标人延长提交投标文件的截止时间。</w:t>
      </w:r>
    </w:p>
    <w:p w14:paraId="453E5799">
      <w:pPr>
        <w:pStyle w:val="2"/>
        <w:spacing w:before="360" w:beforeLines="150" w:after="360" w:afterLines="150" w:line="360" w:lineRule="auto"/>
        <w:jc w:val="center"/>
        <w:rPr>
          <w:rFonts w:hint="eastAsia" w:ascii="宋体" w:hAnsi="宋体" w:eastAsia="宋体" w:cs="宋体"/>
          <w:color w:val="auto"/>
          <w:highlight w:val="none"/>
        </w:rPr>
      </w:pPr>
      <w:bookmarkStart w:id="123" w:name="_Toc486604843"/>
      <w:r>
        <w:rPr>
          <w:rFonts w:hint="eastAsia" w:ascii="宋体" w:hAnsi="宋体" w:eastAsia="宋体" w:cs="宋体"/>
          <w:color w:val="auto"/>
          <w:sz w:val="32"/>
          <w:szCs w:val="32"/>
          <w:highlight w:val="none"/>
        </w:rPr>
        <w:t>第</w:t>
      </w:r>
      <w:r>
        <w:rPr>
          <w:rFonts w:hint="eastAsia" w:ascii="宋体" w:hAnsi="宋体" w:eastAsia="宋体" w:cs="宋体"/>
          <w:color w:val="auto"/>
          <w:sz w:val="32"/>
          <w:szCs w:val="32"/>
          <w:highlight w:val="none"/>
          <w:lang w:val="en-US" w:eastAsia="zh-CN"/>
        </w:rPr>
        <w:t>三</w:t>
      </w:r>
      <w:r>
        <w:rPr>
          <w:rFonts w:hint="eastAsia" w:ascii="宋体" w:hAnsi="宋体" w:eastAsia="宋体" w:cs="宋体"/>
          <w:color w:val="auto"/>
          <w:sz w:val="32"/>
          <w:szCs w:val="32"/>
          <w:highlight w:val="none"/>
        </w:rPr>
        <w:t>部分</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投标文件要求</w:t>
      </w:r>
      <w:bookmarkEnd w:id="123"/>
    </w:p>
    <w:p w14:paraId="30300B8A">
      <w:pPr>
        <w:pStyle w:val="29"/>
        <w:numPr>
          <w:ilvl w:val="0"/>
          <w:numId w:val="0"/>
        </w:numPr>
        <w:tabs>
          <w:tab w:val="left" w:pos="851"/>
        </w:tabs>
        <w:ind w:leftChars="0"/>
        <w:rPr>
          <w:rFonts w:hint="eastAsia" w:ascii="宋体" w:hAnsi="宋体" w:eastAsia="宋体" w:cs="宋体"/>
          <w:color w:val="auto"/>
          <w:highlight w:val="none"/>
        </w:rPr>
      </w:pPr>
      <w:bookmarkStart w:id="124" w:name="_Toc162409989"/>
      <w:bookmarkStart w:id="125" w:name="_Toc162409849"/>
      <w:bookmarkStart w:id="126" w:name="_Toc481596027"/>
      <w:bookmarkStart w:id="127" w:name="_Toc362441708"/>
      <w:bookmarkStart w:id="128" w:name="_Toc216695520"/>
      <w:r>
        <w:rPr>
          <w:rFonts w:hint="eastAsia" w:ascii="宋体" w:hAnsi="宋体" w:eastAsia="宋体" w:cs="宋体"/>
          <w:color w:val="auto"/>
          <w:highlight w:val="none"/>
          <w:lang w:val="en-US" w:eastAsia="zh-CN"/>
        </w:rPr>
        <w:t>1</w:t>
      </w:r>
      <w:r>
        <w:rPr>
          <w:rFonts w:hint="eastAsia" w:hAnsi="宋体" w:cs="宋体"/>
          <w:color w:val="auto"/>
          <w:highlight w:val="none"/>
          <w:lang w:val="en-US" w:eastAsia="zh-CN"/>
        </w:rPr>
        <w:t>.</w:t>
      </w:r>
      <w:r>
        <w:rPr>
          <w:rFonts w:hint="eastAsia" w:ascii="宋体" w:hAnsi="宋体" w:eastAsia="宋体" w:cs="宋体"/>
          <w:color w:val="auto"/>
          <w:highlight w:val="none"/>
        </w:rPr>
        <w:t>投标文件</w:t>
      </w:r>
      <w:bookmarkEnd w:id="124"/>
      <w:bookmarkEnd w:id="125"/>
      <w:bookmarkEnd w:id="126"/>
      <w:bookmarkEnd w:id="127"/>
      <w:bookmarkEnd w:id="128"/>
      <w:r>
        <w:rPr>
          <w:rFonts w:hint="eastAsia" w:ascii="宋体" w:hAnsi="宋体" w:eastAsia="宋体" w:cs="宋体"/>
          <w:color w:val="auto"/>
          <w:highlight w:val="none"/>
        </w:rPr>
        <w:t>组成</w:t>
      </w:r>
    </w:p>
    <w:p w14:paraId="11351307">
      <w:pPr>
        <w:pStyle w:val="67"/>
        <w:ind w:firstLine="422"/>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1.1投标人编制的投标文件由以下内容组成：</w:t>
      </w:r>
    </w:p>
    <w:p w14:paraId="4468CF8F">
      <w:pPr>
        <w:pStyle w:val="67"/>
        <w:numPr>
          <w:ilvl w:val="0"/>
          <w:numId w:val="0"/>
        </w:numPr>
        <w:tabs>
          <w:tab w:val="left" w:pos="851"/>
        </w:tabs>
        <w:spacing w:line="360" w:lineRule="auto"/>
        <w:ind w:left="0" w:firstLine="422" w:firstLineChars="200"/>
        <w:rPr>
          <w:rFonts w:hint="eastAsia" w:ascii="宋体" w:hAnsi="宋体" w:cs="宋体"/>
          <w:b/>
          <w:bCs w:val="0"/>
          <w:color w:val="auto"/>
          <w:szCs w:val="21"/>
          <w:highlight w:val="none"/>
        </w:rPr>
      </w:pPr>
      <w:r>
        <w:rPr>
          <w:rFonts w:hint="eastAsia" w:ascii="宋体" w:hAnsi="宋体" w:cs="宋体"/>
          <w:b/>
          <w:bCs w:val="0"/>
          <w:color w:val="auto"/>
          <w:szCs w:val="21"/>
          <w:highlight w:val="none"/>
          <w:lang w:val="en-US" w:eastAsia="zh-CN"/>
        </w:rPr>
        <w:t>1.1.1</w:t>
      </w:r>
      <w:r>
        <w:rPr>
          <w:rFonts w:hint="eastAsia" w:ascii="宋体" w:hAnsi="宋体" w:cs="宋体"/>
          <w:b/>
          <w:bCs w:val="0"/>
          <w:color w:val="auto"/>
          <w:szCs w:val="21"/>
          <w:highlight w:val="none"/>
        </w:rPr>
        <w:t>资信标</w:t>
      </w:r>
    </w:p>
    <w:p w14:paraId="7CFC5D30">
      <w:pPr>
        <w:pStyle w:val="67"/>
        <w:numPr>
          <w:ilvl w:val="0"/>
          <w:numId w:val="0"/>
        </w:numPr>
        <w:tabs>
          <w:tab w:val="left" w:pos="851"/>
        </w:tabs>
        <w:spacing w:line="360" w:lineRule="auto"/>
        <w:ind w:firstLine="577" w:firstLineChars="275"/>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lang w:val="en-US" w:eastAsia="zh-CN"/>
        </w:rPr>
        <w:t>（1）</w:t>
      </w:r>
      <w:r>
        <w:rPr>
          <w:rFonts w:hint="eastAsia" w:ascii="宋体" w:hAnsi="宋体" w:cs="宋体"/>
          <w:b w:val="0"/>
          <w:bCs/>
          <w:color w:val="auto"/>
          <w:sz w:val="21"/>
          <w:szCs w:val="21"/>
          <w:highlight w:val="none"/>
        </w:rPr>
        <w:t>法定代表人证明书；</w:t>
      </w:r>
    </w:p>
    <w:p w14:paraId="542D2F23">
      <w:pPr>
        <w:pStyle w:val="67"/>
        <w:numPr>
          <w:ilvl w:val="0"/>
          <w:numId w:val="0"/>
        </w:numPr>
        <w:tabs>
          <w:tab w:val="left" w:pos="851"/>
        </w:tabs>
        <w:spacing w:line="360" w:lineRule="auto"/>
        <w:ind w:firstLine="577" w:firstLineChars="275"/>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lang w:val="en-US" w:eastAsia="zh-CN"/>
        </w:rPr>
        <w:t>（2）</w:t>
      </w:r>
      <w:r>
        <w:rPr>
          <w:rFonts w:hint="eastAsia" w:ascii="宋体" w:hAnsi="宋体" w:cs="宋体"/>
          <w:b w:val="0"/>
          <w:bCs/>
          <w:color w:val="auto"/>
          <w:sz w:val="21"/>
          <w:szCs w:val="21"/>
          <w:highlight w:val="none"/>
        </w:rPr>
        <w:t>法人授权委托证明书；</w:t>
      </w:r>
    </w:p>
    <w:p w14:paraId="39ED49FB">
      <w:pPr>
        <w:pStyle w:val="67"/>
        <w:numPr>
          <w:ilvl w:val="0"/>
          <w:numId w:val="0"/>
        </w:numPr>
        <w:tabs>
          <w:tab w:val="left" w:pos="851"/>
        </w:tabs>
        <w:spacing w:line="360" w:lineRule="auto"/>
        <w:ind w:firstLine="577" w:firstLineChars="275"/>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lang w:val="en-US" w:eastAsia="zh-CN"/>
        </w:rPr>
        <w:t>（3）</w:t>
      </w:r>
      <w:r>
        <w:rPr>
          <w:rFonts w:hint="eastAsia" w:ascii="宋体" w:hAnsi="宋体" w:cs="宋体"/>
          <w:b w:val="0"/>
          <w:bCs/>
          <w:color w:val="auto"/>
          <w:sz w:val="21"/>
          <w:szCs w:val="21"/>
          <w:highlight w:val="none"/>
        </w:rPr>
        <w:t xml:space="preserve">法定代表人身份证复印件； </w:t>
      </w:r>
    </w:p>
    <w:p w14:paraId="74178019">
      <w:pPr>
        <w:pStyle w:val="67"/>
        <w:numPr>
          <w:ilvl w:val="0"/>
          <w:numId w:val="0"/>
        </w:numPr>
        <w:tabs>
          <w:tab w:val="left" w:pos="851"/>
        </w:tabs>
        <w:spacing w:line="360" w:lineRule="auto"/>
        <w:ind w:firstLine="577" w:firstLineChars="275"/>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lang w:val="en-US" w:eastAsia="zh-CN"/>
        </w:rPr>
        <w:t>（4）</w:t>
      </w:r>
      <w:r>
        <w:rPr>
          <w:rFonts w:hint="eastAsia" w:ascii="宋体" w:hAnsi="宋体" w:cs="宋体"/>
          <w:b w:val="0"/>
          <w:bCs/>
          <w:color w:val="auto"/>
          <w:sz w:val="21"/>
          <w:szCs w:val="21"/>
          <w:highlight w:val="none"/>
        </w:rPr>
        <w:t>被授权人身份证复印件；</w:t>
      </w:r>
    </w:p>
    <w:p w14:paraId="1A00FBFC">
      <w:pPr>
        <w:pStyle w:val="67"/>
        <w:numPr>
          <w:ilvl w:val="0"/>
          <w:numId w:val="0"/>
        </w:numPr>
        <w:tabs>
          <w:tab w:val="left" w:pos="851"/>
        </w:tabs>
        <w:spacing w:line="360" w:lineRule="auto"/>
        <w:ind w:firstLine="577" w:firstLineChars="275"/>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val="en-US" w:eastAsia="zh-CN"/>
        </w:rPr>
        <w:t>（5）</w:t>
      </w:r>
      <w:r>
        <w:rPr>
          <w:rFonts w:hint="eastAsia" w:ascii="宋体" w:hAnsi="宋体" w:cs="宋体"/>
          <w:b w:val="0"/>
          <w:bCs/>
          <w:color w:val="auto"/>
          <w:sz w:val="21"/>
          <w:szCs w:val="21"/>
          <w:highlight w:val="none"/>
        </w:rPr>
        <w:t>《营业执照》复印件</w:t>
      </w:r>
      <w:r>
        <w:rPr>
          <w:rFonts w:hint="eastAsia" w:ascii="宋体" w:hAnsi="宋体" w:cs="宋体"/>
          <w:b w:val="0"/>
          <w:bCs/>
          <w:color w:val="auto"/>
          <w:sz w:val="21"/>
          <w:szCs w:val="21"/>
          <w:highlight w:val="none"/>
          <w:lang w:eastAsia="zh-CN"/>
        </w:rPr>
        <w:t>；</w:t>
      </w:r>
    </w:p>
    <w:p w14:paraId="52D30718">
      <w:pPr>
        <w:pStyle w:val="67"/>
        <w:numPr>
          <w:ilvl w:val="0"/>
          <w:numId w:val="0"/>
        </w:numPr>
        <w:tabs>
          <w:tab w:val="left" w:pos="851"/>
        </w:tabs>
        <w:ind w:firstLine="577" w:firstLineChars="275"/>
        <w:rPr>
          <w:rFonts w:hint="default" w:ascii="宋体" w:hAnsi="宋体" w:eastAsia="宋体" w:cs="宋体"/>
          <w:color w:val="auto"/>
          <w:sz w:val="21"/>
          <w:szCs w:val="21"/>
          <w:highlight w:val="none"/>
          <w:lang w:val="en-US" w:eastAsia="zh-CN"/>
        </w:rPr>
      </w:pP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6</w:t>
      </w:r>
      <w:r>
        <w:rPr>
          <w:rFonts w:hint="eastAsia" w:ascii="宋体" w:hAnsi="宋体" w:cs="宋体"/>
          <w:b w:val="0"/>
          <w:bCs/>
          <w:color w:val="auto"/>
          <w:sz w:val="21"/>
          <w:szCs w:val="21"/>
          <w:highlight w:val="none"/>
          <w:lang w:eastAsia="zh-CN"/>
        </w:rPr>
        <w:t>）</w:t>
      </w:r>
      <w:r>
        <w:rPr>
          <w:rFonts w:hint="eastAsia" w:hAnsi="宋体" w:cs="Arial"/>
          <w:bCs/>
          <w:color w:val="auto"/>
          <w:sz w:val="21"/>
          <w:szCs w:val="21"/>
          <w:highlight w:val="none"/>
          <w:lang w:val="en-US" w:eastAsia="zh-CN"/>
        </w:rPr>
        <w:t>投标单位提供的</w:t>
      </w:r>
      <w:r>
        <w:rPr>
          <w:rFonts w:hint="eastAsia" w:hAnsi="宋体" w:cs="Arial"/>
          <w:bCs/>
          <w:color w:val="auto"/>
          <w:sz w:val="21"/>
          <w:szCs w:val="21"/>
          <w:highlight w:val="none"/>
        </w:rPr>
        <w:t>其他</w:t>
      </w:r>
      <w:r>
        <w:rPr>
          <w:rFonts w:hint="eastAsia" w:hAnsi="宋体" w:cs="Arial"/>
          <w:bCs/>
          <w:color w:val="auto"/>
          <w:sz w:val="21"/>
          <w:szCs w:val="21"/>
          <w:highlight w:val="none"/>
          <w:lang w:val="en-US" w:eastAsia="zh-CN"/>
        </w:rPr>
        <w:t>资料。</w:t>
      </w:r>
    </w:p>
    <w:p w14:paraId="0BBA6F1C">
      <w:pPr>
        <w:pStyle w:val="67"/>
        <w:numPr>
          <w:ilvl w:val="0"/>
          <w:numId w:val="0"/>
        </w:numPr>
        <w:tabs>
          <w:tab w:val="left" w:pos="851"/>
        </w:tabs>
        <w:spacing w:line="360" w:lineRule="auto"/>
        <w:ind w:firstLine="422" w:firstLineChars="200"/>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1.1.</w:t>
      </w:r>
      <w:r>
        <w:rPr>
          <w:rFonts w:hint="eastAsia" w:ascii="宋体" w:hAnsi="宋体" w:cs="宋体"/>
          <w:b/>
          <w:bCs w:val="0"/>
          <w:color w:val="auto"/>
          <w:szCs w:val="21"/>
          <w:highlight w:val="none"/>
          <w:lang w:val="en-US" w:eastAsia="zh-CN"/>
        </w:rPr>
        <w:t>2</w:t>
      </w:r>
      <w:r>
        <w:rPr>
          <w:rFonts w:hint="eastAsia" w:ascii="宋体" w:hAnsi="宋体" w:eastAsia="宋体" w:cs="宋体"/>
          <w:b/>
          <w:bCs w:val="0"/>
          <w:color w:val="auto"/>
          <w:szCs w:val="21"/>
          <w:highlight w:val="none"/>
        </w:rPr>
        <w:t>商务标</w:t>
      </w:r>
    </w:p>
    <w:p w14:paraId="5A6EF3DC">
      <w:pPr>
        <w:spacing w:line="360" w:lineRule="auto"/>
        <w:ind w:firstLine="630" w:firstLineChars="3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（1）承诺书</w:t>
      </w:r>
    </w:p>
    <w:p w14:paraId="0A0BD23B">
      <w:pPr>
        <w:spacing w:line="360" w:lineRule="auto"/>
        <w:ind w:firstLine="630" w:firstLineChars="300"/>
        <w:rPr>
          <w:rFonts w:hint="default" w:ascii="宋体" w:hAnsi="宋体" w:eastAsia="宋体" w:cs="宋体"/>
          <w:b w:val="0"/>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r>
        <w:rPr>
          <w:rFonts w:hint="eastAsia" w:hAnsi="宋体" w:cs="宋体"/>
          <w:b w:val="0"/>
          <w:bCs/>
          <w:color w:val="auto"/>
          <w:sz w:val="21"/>
          <w:szCs w:val="21"/>
          <w:highlight w:val="none"/>
          <w:lang w:val="en-US" w:eastAsia="zh-CN"/>
        </w:rPr>
        <w:t>法定代表人身份证明书</w:t>
      </w:r>
    </w:p>
    <w:p w14:paraId="1A9F94A9">
      <w:pPr>
        <w:spacing w:line="360" w:lineRule="auto"/>
        <w:ind w:firstLine="630" w:firstLineChars="300"/>
        <w:rPr>
          <w:rFonts w:hint="eastAsia" w:hAnsi="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w:t>
      </w:r>
      <w:r>
        <w:rPr>
          <w:rFonts w:hint="eastAsia" w:hAnsi="宋体" w:cs="宋体"/>
          <w:b w:val="0"/>
          <w:bCs/>
          <w:color w:val="auto"/>
          <w:sz w:val="21"/>
          <w:szCs w:val="21"/>
          <w:highlight w:val="none"/>
          <w:lang w:val="en-US" w:eastAsia="zh-CN"/>
        </w:rPr>
        <w:t>法定代表人授权委托书</w:t>
      </w:r>
    </w:p>
    <w:p w14:paraId="6D11D9C4">
      <w:pPr>
        <w:spacing w:line="360" w:lineRule="auto"/>
        <w:ind w:firstLine="630" w:firstLineChars="3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（4）投标清单</w:t>
      </w:r>
    </w:p>
    <w:p w14:paraId="4A4DF650">
      <w:pPr>
        <w:pStyle w:val="67"/>
        <w:numPr>
          <w:ilvl w:val="0"/>
          <w:numId w:val="0"/>
        </w:numPr>
        <w:tabs>
          <w:tab w:val="left" w:pos="851"/>
        </w:tabs>
        <w:spacing w:line="360" w:lineRule="auto"/>
        <w:ind w:leftChars="0"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1.1.</w:t>
      </w:r>
      <w:r>
        <w:rPr>
          <w:rFonts w:hint="eastAsia" w:ascii="宋体" w:hAnsi="宋体" w:cs="宋体"/>
          <w:b/>
          <w:color w:val="auto"/>
          <w:szCs w:val="21"/>
          <w:highlight w:val="none"/>
          <w:lang w:val="en-US" w:eastAsia="zh-CN"/>
        </w:rPr>
        <w:t>3</w:t>
      </w:r>
      <w:r>
        <w:rPr>
          <w:rFonts w:hint="eastAsia" w:ascii="宋体" w:hAnsi="宋体" w:eastAsia="宋体" w:cs="宋体"/>
          <w:b/>
          <w:color w:val="auto"/>
          <w:szCs w:val="21"/>
          <w:highlight w:val="none"/>
          <w:lang w:val="en-US" w:eastAsia="zh-CN"/>
        </w:rPr>
        <w:t>技术</w:t>
      </w:r>
      <w:r>
        <w:rPr>
          <w:rFonts w:hint="eastAsia" w:ascii="宋体" w:hAnsi="宋体" w:eastAsia="宋体" w:cs="宋体"/>
          <w:b/>
          <w:color w:val="auto"/>
          <w:szCs w:val="21"/>
          <w:highlight w:val="none"/>
        </w:rPr>
        <w:t>标</w:t>
      </w:r>
    </w:p>
    <w:p w14:paraId="4DA5D694">
      <w:pPr>
        <w:spacing w:line="360" w:lineRule="auto"/>
        <w:ind w:firstLine="630" w:firstLineChars="300"/>
        <w:rPr>
          <w:rFonts w:hint="eastAsia" w:ascii="宋体" w:hAnsi="宋体" w:eastAsia="宋体" w:cs="宋体"/>
          <w:bCs/>
          <w:color w:val="auto"/>
          <w:sz w:val="21"/>
          <w:szCs w:val="21"/>
          <w:highlight w:val="none"/>
          <w:lang w:val="en-CA" w:eastAsia="zh-CN"/>
        </w:rPr>
      </w:pPr>
      <w:r>
        <w:rPr>
          <w:rFonts w:hint="eastAsia" w:ascii="宋体" w:hAnsi="宋体" w:eastAsia="宋体" w:cs="宋体"/>
          <w:bCs/>
          <w:color w:val="auto"/>
          <w:sz w:val="21"/>
          <w:szCs w:val="21"/>
          <w:highlight w:val="none"/>
          <w:lang w:val="en-US" w:eastAsia="zh-CN"/>
        </w:rPr>
        <w:t>（1）</w:t>
      </w:r>
      <w:r>
        <w:rPr>
          <w:rFonts w:hint="eastAsia" w:hAnsi="宋体" w:cs="宋体"/>
          <w:bCs/>
          <w:color w:val="auto"/>
          <w:sz w:val="21"/>
          <w:szCs w:val="21"/>
          <w:highlight w:val="none"/>
          <w:lang w:val="en-US" w:eastAsia="zh-CN"/>
        </w:rPr>
        <w:t>实验室家具布置</w:t>
      </w:r>
      <w:r>
        <w:rPr>
          <w:rFonts w:hint="eastAsia" w:ascii="宋体" w:hAnsi="宋体" w:eastAsia="宋体" w:cs="宋体"/>
          <w:bCs/>
          <w:color w:val="auto"/>
          <w:sz w:val="21"/>
          <w:szCs w:val="21"/>
          <w:highlight w:val="none"/>
          <w:lang w:val="en-CA" w:eastAsia="zh-CN"/>
        </w:rPr>
        <w:t>效果图（</w:t>
      </w:r>
      <w:r>
        <w:rPr>
          <w:rFonts w:hint="eastAsia" w:ascii="宋体" w:hAnsi="宋体" w:eastAsia="宋体" w:cs="宋体"/>
          <w:bCs/>
          <w:color w:val="auto"/>
          <w:sz w:val="21"/>
          <w:szCs w:val="21"/>
          <w:highlight w:val="none"/>
          <w:lang w:val="en-US" w:eastAsia="zh-CN"/>
        </w:rPr>
        <w:t>如有）</w:t>
      </w:r>
      <w:r>
        <w:rPr>
          <w:rFonts w:hint="eastAsia" w:ascii="宋体" w:hAnsi="宋体" w:eastAsia="宋体" w:cs="宋体"/>
          <w:bCs/>
          <w:color w:val="auto"/>
          <w:sz w:val="21"/>
          <w:szCs w:val="21"/>
          <w:highlight w:val="none"/>
          <w:lang w:val="en-CA" w:eastAsia="zh-CN"/>
        </w:rPr>
        <w:t>；</w:t>
      </w:r>
    </w:p>
    <w:p w14:paraId="1BCE2AFE">
      <w:pPr>
        <w:spacing w:line="360" w:lineRule="auto"/>
        <w:ind w:firstLine="630" w:firstLineChars="300"/>
        <w:rPr>
          <w:rFonts w:hint="eastAsia" w:ascii="宋体" w:hAnsi="宋体" w:eastAsia="宋体" w:cs="宋体"/>
          <w:bCs/>
          <w:color w:val="auto"/>
          <w:sz w:val="21"/>
          <w:szCs w:val="21"/>
          <w:highlight w:val="none"/>
          <w:lang w:val="en-CA" w:eastAsia="zh-CN"/>
        </w:rPr>
      </w:pPr>
      <w:r>
        <w:rPr>
          <w:rFonts w:hint="eastAsia" w:ascii="宋体" w:hAnsi="宋体" w:eastAsia="宋体" w:cs="宋体"/>
          <w:bCs/>
          <w:color w:val="auto"/>
          <w:sz w:val="21"/>
          <w:szCs w:val="21"/>
          <w:highlight w:val="none"/>
          <w:lang w:val="en-US" w:eastAsia="zh-CN"/>
        </w:rPr>
        <w:t>（</w:t>
      </w:r>
      <w:r>
        <w:rPr>
          <w:rFonts w:hint="eastAsia"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lang w:val="en-CA" w:eastAsia="zh-CN"/>
        </w:rPr>
        <w:t>售后服务承诺及技术支持，售后人员结构、售后服务条款；（</w:t>
      </w:r>
      <w:r>
        <w:rPr>
          <w:rFonts w:hint="eastAsia" w:ascii="宋体" w:hAnsi="宋体" w:eastAsia="宋体" w:cs="宋体"/>
          <w:bCs/>
          <w:color w:val="auto"/>
          <w:sz w:val="21"/>
          <w:szCs w:val="21"/>
          <w:highlight w:val="none"/>
          <w:lang w:val="en-US" w:eastAsia="zh-CN"/>
        </w:rPr>
        <w:t>将作为项目验收的重要依据，同时也是合同的组成部分）</w:t>
      </w:r>
    </w:p>
    <w:p w14:paraId="386AF250">
      <w:pPr>
        <w:spacing w:line="360" w:lineRule="auto"/>
        <w:ind w:firstLine="630" w:firstLineChars="3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t>
      </w:r>
      <w:r>
        <w:rPr>
          <w:rFonts w:hint="eastAsia"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lang w:val="en-CA" w:eastAsia="zh-CN"/>
        </w:rPr>
        <w:t>其他服务承诺条款；</w:t>
      </w:r>
    </w:p>
    <w:p w14:paraId="0D10CE09">
      <w:pPr>
        <w:spacing w:line="360" w:lineRule="auto"/>
        <w:ind w:firstLine="630" w:firstLineChars="3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t>
      </w:r>
      <w:r>
        <w:rPr>
          <w:rFonts w:hint="eastAsia" w:hAnsi="宋体" w:cs="宋体"/>
          <w:bCs/>
          <w:color w:val="auto"/>
          <w:sz w:val="21"/>
          <w:szCs w:val="21"/>
          <w:highlight w:val="none"/>
          <w:lang w:val="en-US" w:eastAsia="zh-CN"/>
        </w:rPr>
        <w:t>4</w:t>
      </w:r>
      <w:r>
        <w:rPr>
          <w:rFonts w:hint="eastAsia" w:ascii="宋体" w:hAnsi="宋体" w:eastAsia="宋体" w:cs="宋体"/>
          <w:bCs/>
          <w:color w:val="auto"/>
          <w:sz w:val="21"/>
          <w:szCs w:val="21"/>
          <w:highlight w:val="none"/>
          <w:lang w:val="en-US" w:eastAsia="zh-CN"/>
        </w:rPr>
        <w:t>）技术偏离表。</w:t>
      </w:r>
    </w:p>
    <w:p w14:paraId="49AC53C9">
      <w:pPr>
        <w:keepNext w:val="0"/>
        <w:keepLines w:val="0"/>
        <w:pageBreakBefore w:val="0"/>
        <w:widowControl w:val="0"/>
        <w:numPr>
          <w:ilvl w:val="1"/>
          <w:numId w:val="8"/>
        </w:numPr>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投标人应根据本招标文件《附件</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投标文件格式》中关于投标报价的要求和规定对本招标工程进行计价，编制投标文件商务标有关投标报价内容；</w:t>
      </w:r>
    </w:p>
    <w:p w14:paraId="1AD841D5">
      <w:pPr>
        <w:keepNext w:val="0"/>
        <w:keepLines w:val="0"/>
        <w:pageBreakBefore w:val="0"/>
        <w:widowControl w:val="0"/>
        <w:numPr>
          <w:ilvl w:val="1"/>
          <w:numId w:val="8"/>
        </w:numPr>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投标人应依据招标文件、国家现行规范和标准以及投标人对工程场地和周围环境的踏勘情况，编制本招标工程的施工组织设计；</w:t>
      </w:r>
    </w:p>
    <w:p w14:paraId="2BDBE7ED">
      <w:pPr>
        <w:keepNext w:val="0"/>
        <w:keepLines w:val="0"/>
        <w:pageBreakBefore w:val="0"/>
        <w:widowControl w:val="0"/>
        <w:numPr>
          <w:ilvl w:val="1"/>
          <w:numId w:val="8"/>
        </w:numPr>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如果招标人在本招标文件中提供了投标文件的相关格式，则投标人编制投标文件时应使用招标人提供的格式（如属表格，可以按同样格式扩展）； </w:t>
      </w:r>
    </w:p>
    <w:p w14:paraId="2EE65445">
      <w:pPr>
        <w:keepNext w:val="0"/>
        <w:keepLines w:val="0"/>
        <w:pageBreakBefore w:val="0"/>
        <w:widowControl w:val="0"/>
        <w:numPr>
          <w:ilvl w:val="1"/>
          <w:numId w:val="8"/>
        </w:numPr>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均应打印或使用不褪色的墨水书写。全套投标文件应无涂改、行间插字或删除，除非上述删改是根据招标人发出的招标文件修改补充文件的指示进行的，或者是投标人造成的必须修改的错误，投标文件修改处须由投标文件签署人签字或盖章；</w:t>
      </w:r>
    </w:p>
    <w:p w14:paraId="2972D0AC">
      <w:pPr>
        <w:keepNext w:val="0"/>
        <w:keepLines w:val="0"/>
        <w:pageBreakBefore w:val="0"/>
        <w:widowControl w:val="0"/>
        <w:numPr>
          <w:ilvl w:val="1"/>
          <w:numId w:val="8"/>
        </w:numPr>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投标人应在投标文件所有文件资料内容之前编制可方便检索的总目录或索引；</w:t>
      </w:r>
    </w:p>
    <w:p w14:paraId="66F6FD50">
      <w:pPr>
        <w:keepNext w:val="0"/>
        <w:keepLines w:val="0"/>
        <w:pageBreakBefore w:val="0"/>
        <w:widowControl w:val="0"/>
        <w:numPr>
          <w:ilvl w:val="1"/>
          <w:numId w:val="8"/>
        </w:numPr>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投标人应同时提交一套电子版投标文件，电子版本投标文件应以</w:t>
      </w:r>
      <w:r>
        <w:rPr>
          <w:rFonts w:hint="eastAsia" w:ascii="宋体" w:hAnsi="宋体" w:eastAsia="宋体" w:cs="宋体"/>
          <w:color w:val="auto"/>
          <w:sz w:val="21"/>
          <w:szCs w:val="21"/>
          <w:highlight w:val="none"/>
          <w:lang w:val="en-US" w:eastAsia="zh-CN"/>
        </w:rPr>
        <w:t>U</w:t>
      </w:r>
      <w:r>
        <w:rPr>
          <w:rFonts w:hint="eastAsia" w:ascii="宋体" w:hAnsi="宋体" w:eastAsia="宋体" w:cs="宋体"/>
          <w:color w:val="auto"/>
          <w:sz w:val="21"/>
          <w:szCs w:val="21"/>
          <w:highlight w:val="none"/>
        </w:rPr>
        <w:t>盘的形式提交，其中清单需提交EXCEL版；</w:t>
      </w:r>
    </w:p>
    <w:p w14:paraId="22315164">
      <w:pPr>
        <w:keepNext w:val="0"/>
        <w:keepLines w:val="0"/>
        <w:pageBreakBefore w:val="0"/>
        <w:widowControl w:val="0"/>
        <w:numPr>
          <w:ilvl w:val="1"/>
          <w:numId w:val="8"/>
        </w:numPr>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应对招标文件提出的实质性要求和条件做出响应，不得对招标文件中规定的要求和条件做出对招标人不利的任何变动，但投标人为了提高其投标竞争性，可选择做出对招标人而言，比本招标文件中规定的要求和条件更加优惠或更加有利的承诺。如果该投标人最终被授予合同，则其做出的并被招标人所接受的更加优惠或更加有利的承诺，将成为具有合同约束力的承诺并将被纳入招标人与中标人签订的合同中。</w:t>
      </w:r>
    </w:p>
    <w:p w14:paraId="15E3CEDB">
      <w:pPr>
        <w:pStyle w:val="29"/>
        <w:numPr>
          <w:ilvl w:val="0"/>
          <w:numId w:val="0"/>
        </w:numPr>
        <w:tabs>
          <w:tab w:val="left" w:pos="851"/>
        </w:tabs>
        <w:ind w:leftChars="0"/>
        <w:rPr>
          <w:rFonts w:hint="eastAsia" w:ascii="宋体" w:hAnsi="宋体" w:eastAsia="宋体" w:cs="宋体"/>
          <w:color w:val="auto"/>
          <w:highlight w:val="none"/>
        </w:rPr>
      </w:pPr>
      <w:bookmarkStart w:id="129" w:name="_Toc162409851"/>
      <w:bookmarkStart w:id="130" w:name="_Toc162409991"/>
      <w:bookmarkStart w:id="131" w:name="_Toc216695522"/>
      <w:bookmarkStart w:id="132" w:name="_Toc481596028"/>
      <w:bookmarkStart w:id="133" w:name="_Toc362441709"/>
      <w:r>
        <w:rPr>
          <w:rFonts w:hint="eastAsia" w:ascii="宋体" w:hAnsi="宋体" w:eastAsia="宋体" w:cs="宋体"/>
          <w:color w:val="auto"/>
          <w:highlight w:val="none"/>
          <w:lang w:val="en-US" w:eastAsia="zh-CN"/>
        </w:rPr>
        <w:t>2</w:t>
      </w:r>
      <w:r>
        <w:rPr>
          <w:rFonts w:hint="eastAsia" w:hAnsi="宋体" w:cs="宋体"/>
          <w:color w:val="auto"/>
          <w:highlight w:val="none"/>
          <w:lang w:val="en-US" w:eastAsia="zh-CN"/>
        </w:rPr>
        <w:t>.</w:t>
      </w:r>
      <w:r>
        <w:rPr>
          <w:rFonts w:hint="eastAsia" w:ascii="宋体" w:hAnsi="宋体" w:eastAsia="宋体" w:cs="宋体"/>
          <w:color w:val="auto"/>
          <w:highlight w:val="none"/>
        </w:rPr>
        <w:t>投标文件装订与密封</w:t>
      </w:r>
      <w:bookmarkEnd w:id="129"/>
      <w:bookmarkEnd w:id="130"/>
      <w:bookmarkEnd w:id="131"/>
      <w:bookmarkEnd w:id="132"/>
      <w:bookmarkEnd w:id="133"/>
    </w:p>
    <w:p w14:paraId="4FB49DFB">
      <w:pPr>
        <w:numPr>
          <w:ilvl w:val="1"/>
          <w:numId w:val="9"/>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投标人应将编制的投标文件按照</w:t>
      </w:r>
      <w:r>
        <w:rPr>
          <w:rFonts w:hint="eastAsia" w:ascii="宋体" w:hAnsi="宋体" w:eastAsia="宋体" w:cs="宋体"/>
          <w:color w:val="auto"/>
          <w:sz w:val="21"/>
          <w:szCs w:val="21"/>
          <w:highlight w:val="none"/>
          <w:lang w:val="en-US" w:eastAsia="zh-CN"/>
        </w:rPr>
        <w:t>投标须知前附表“</w:t>
      </w:r>
      <w:r>
        <w:rPr>
          <w:rFonts w:hint="eastAsia" w:ascii="宋体" w:hAnsi="宋体" w:eastAsia="宋体" w:cs="宋体"/>
          <w:color w:val="auto"/>
          <w:sz w:val="21"/>
          <w:szCs w:val="21"/>
          <w:highlight w:val="none"/>
        </w:rPr>
        <w:t>投标文件份数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要求进行</w:t>
      </w:r>
      <w:r>
        <w:rPr>
          <w:rFonts w:hint="eastAsia" w:ascii="宋体" w:hAnsi="宋体" w:eastAsia="宋体" w:cs="宋体"/>
          <w:color w:val="auto"/>
          <w:sz w:val="21"/>
          <w:szCs w:val="21"/>
          <w:highlight w:val="none"/>
        </w:rPr>
        <w:t>密封。如果资信标、商务标的内容过多，可以分册装订。投标人应对所有投标文件采用左侧书本式方式装订，装订应牢固、不易拆散和换页，不得采用活页方式装订。</w:t>
      </w:r>
    </w:p>
    <w:p w14:paraId="4F717988">
      <w:pPr>
        <w:numPr>
          <w:ilvl w:val="1"/>
          <w:numId w:val="9"/>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投标人为增加其投标竞争性而编制的必要的</w:t>
      </w:r>
      <w:r>
        <w:rPr>
          <w:rFonts w:hint="eastAsia" w:hAnsi="宋体" w:cs="宋体"/>
          <w:color w:val="auto"/>
          <w:sz w:val="21"/>
          <w:szCs w:val="21"/>
          <w:highlight w:val="none"/>
          <w:lang w:eastAsia="zh-CN"/>
        </w:rPr>
        <w:t>其他</w:t>
      </w:r>
      <w:r>
        <w:rPr>
          <w:rFonts w:hint="eastAsia" w:ascii="宋体" w:hAnsi="宋体" w:eastAsia="宋体" w:cs="宋体"/>
          <w:color w:val="auto"/>
          <w:sz w:val="21"/>
          <w:szCs w:val="21"/>
          <w:highlight w:val="none"/>
        </w:rPr>
        <w:t>资料，应根据投标文件的编制要求和原则，分别装订在相应部分中。</w:t>
      </w:r>
    </w:p>
    <w:p w14:paraId="7F904468">
      <w:pPr>
        <w:numPr>
          <w:ilvl w:val="1"/>
          <w:numId w:val="9"/>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投标文件封面均应加盖投标人公章（骑缝处应加盖骑缝章），并由法定代表人或其委托代理人签字或盖章；招标文件给定的投标文件格式中明确要求签字或盖章处，均应按要求签字或盖章；商务标回标文件每页均须加盖公章。</w:t>
      </w:r>
    </w:p>
    <w:p w14:paraId="60EAAFD8">
      <w:pPr>
        <w:numPr>
          <w:ilvl w:val="1"/>
          <w:numId w:val="9"/>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电子版本投标文件分别刻盘，与相应的纸质文件一起密封。投标人应将所有投标文件密封后提交。如果投标文件体积或重量较大，可以使用多个密封袋（箱）进行密封。</w:t>
      </w:r>
    </w:p>
    <w:p w14:paraId="0AF1961E">
      <w:pPr>
        <w:numPr>
          <w:ilvl w:val="1"/>
          <w:numId w:val="9"/>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投标人应对所有投标文件的密封袋（箱）采用密封条（由投标人自行制作）进行密封。密封条上骑缝处加盖投标人公章和法定代表人或其委托代理人名章。</w:t>
      </w:r>
    </w:p>
    <w:p w14:paraId="5A871F2D">
      <w:pPr>
        <w:numPr>
          <w:ilvl w:val="1"/>
          <w:numId w:val="9"/>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除按照上述要求对投标文件密封外，在所有投标文件密封袋正面或密封箱上应标识本招标工程的工程名称和投标人名称。</w:t>
      </w:r>
    </w:p>
    <w:p w14:paraId="52AE0C08">
      <w:pPr>
        <w:pStyle w:val="29"/>
        <w:numPr>
          <w:ilvl w:val="0"/>
          <w:numId w:val="0"/>
        </w:numPr>
        <w:tabs>
          <w:tab w:val="left" w:pos="851"/>
        </w:tabs>
        <w:ind w:leftChars="-405" w:firstLine="964" w:firstLineChars="400"/>
        <w:rPr>
          <w:rFonts w:hint="eastAsia" w:ascii="宋体" w:hAnsi="宋体" w:eastAsia="宋体" w:cs="宋体"/>
          <w:color w:val="auto"/>
          <w:highlight w:val="none"/>
        </w:rPr>
      </w:pPr>
      <w:bookmarkStart w:id="134" w:name="_Toc481596029"/>
      <w:bookmarkStart w:id="135" w:name="_Toc216695524"/>
      <w:bookmarkStart w:id="136" w:name="_Toc162409853"/>
      <w:bookmarkStart w:id="137" w:name="_Toc162409993"/>
      <w:bookmarkStart w:id="138" w:name="_Toc362441710"/>
      <w:r>
        <w:rPr>
          <w:rFonts w:hint="eastAsia" w:ascii="宋体" w:hAnsi="宋体" w:eastAsia="宋体" w:cs="宋体"/>
          <w:color w:val="auto"/>
          <w:highlight w:val="none"/>
          <w:lang w:val="en-US" w:eastAsia="zh-CN"/>
        </w:rPr>
        <w:t>3</w:t>
      </w:r>
      <w:r>
        <w:rPr>
          <w:rFonts w:hint="eastAsia" w:hAnsi="宋体" w:cs="宋体"/>
          <w:color w:val="auto"/>
          <w:highlight w:val="none"/>
          <w:lang w:val="en-US" w:eastAsia="zh-CN"/>
        </w:rPr>
        <w:t>.</w:t>
      </w:r>
      <w:r>
        <w:rPr>
          <w:rFonts w:hint="eastAsia" w:ascii="宋体" w:hAnsi="宋体" w:eastAsia="宋体" w:cs="宋体"/>
          <w:color w:val="auto"/>
          <w:highlight w:val="none"/>
        </w:rPr>
        <w:t>投标文件提交</w:t>
      </w:r>
      <w:bookmarkEnd w:id="134"/>
      <w:bookmarkEnd w:id="135"/>
      <w:bookmarkEnd w:id="136"/>
      <w:bookmarkEnd w:id="137"/>
      <w:bookmarkEnd w:id="138"/>
    </w:p>
    <w:p w14:paraId="2DECBC1E">
      <w:pPr>
        <w:numPr>
          <w:ilvl w:val="1"/>
          <w:numId w:val="10"/>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如招标人延长了提交投标文件的截止时间，则本招标工程提交投标文件截止时间以新的时间为准。</w:t>
      </w:r>
    </w:p>
    <w:p w14:paraId="6B85063D">
      <w:pPr>
        <w:numPr>
          <w:ilvl w:val="1"/>
          <w:numId w:val="10"/>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招标人可以拒绝接收本须知规定的提交投标文件截止时间后送达的，或未送达到指定地点的投标文件，被拒绝的投标文件将原封退回投标人。</w:t>
      </w:r>
    </w:p>
    <w:p w14:paraId="71D793D3">
      <w:pPr>
        <w:pStyle w:val="29"/>
        <w:numPr>
          <w:ilvl w:val="0"/>
          <w:numId w:val="0"/>
        </w:numPr>
        <w:tabs>
          <w:tab w:val="left" w:pos="851"/>
        </w:tabs>
        <w:ind w:leftChars="0"/>
        <w:rPr>
          <w:rFonts w:hint="eastAsia" w:ascii="宋体" w:hAnsi="宋体" w:eastAsia="宋体" w:cs="宋体"/>
          <w:color w:val="auto"/>
          <w:highlight w:val="none"/>
        </w:rPr>
      </w:pPr>
      <w:bookmarkStart w:id="139" w:name="_Toc162409994"/>
      <w:bookmarkStart w:id="140" w:name="_Toc362441711"/>
      <w:bookmarkStart w:id="141" w:name="_Toc216695525"/>
      <w:bookmarkStart w:id="142" w:name="_Toc481596030"/>
      <w:bookmarkStart w:id="143" w:name="_Toc162409854"/>
      <w:r>
        <w:rPr>
          <w:rFonts w:hint="eastAsia" w:hAnsi="宋体" w:cs="宋体"/>
          <w:color w:val="auto"/>
          <w:highlight w:val="none"/>
          <w:lang w:val="en-US" w:eastAsia="zh-CN"/>
        </w:rPr>
        <w:t>4.</w:t>
      </w:r>
      <w:r>
        <w:rPr>
          <w:rFonts w:hint="eastAsia" w:ascii="宋体" w:hAnsi="宋体" w:eastAsia="宋体" w:cs="宋体"/>
          <w:color w:val="auto"/>
          <w:highlight w:val="none"/>
        </w:rPr>
        <w:t>投标文件修改补充与撤回</w:t>
      </w:r>
      <w:bookmarkEnd w:id="139"/>
      <w:bookmarkEnd w:id="140"/>
      <w:bookmarkEnd w:id="141"/>
      <w:bookmarkEnd w:id="142"/>
      <w:bookmarkEnd w:id="143"/>
    </w:p>
    <w:p w14:paraId="4F9CE437">
      <w:pPr>
        <w:numPr>
          <w:ilvl w:val="0"/>
          <w:numId w:val="0"/>
        </w:numPr>
        <w:tabs>
          <w:tab w:val="left" w:pos="851"/>
        </w:tabs>
        <w:spacing w:line="360" w:lineRule="auto"/>
        <w:ind w:firstLine="420" w:firstLineChars="20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4.1</w:t>
      </w:r>
      <w:r>
        <w:rPr>
          <w:rFonts w:hint="eastAsia" w:ascii="宋体" w:hAnsi="宋体" w:eastAsia="宋体" w:cs="宋体"/>
          <w:color w:val="auto"/>
          <w:sz w:val="21"/>
          <w:szCs w:val="21"/>
          <w:highlight w:val="none"/>
        </w:rPr>
        <w:t>投标人在提交投标文件后，在规定的提交投标文件截止时间前，可以电子邮件形式修改、补充或撤回已提交的投标文件，并书面通知招标人。书面通知必须在规定的提交投标文件截止时间前送达招标人，并得到招标人的确认。修改、补充的内容为投标文件的组成部分。在规定的提交投标文件截止时间后送达的修改或者补充的内容无效。</w:t>
      </w:r>
    </w:p>
    <w:p w14:paraId="5AF1DA41">
      <w:pPr>
        <w:numPr>
          <w:ilvl w:val="1"/>
          <w:numId w:val="0"/>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hAnsi="宋体" w:cs="宋体"/>
          <w:color w:val="auto"/>
          <w:sz w:val="21"/>
          <w:szCs w:val="21"/>
          <w:lang w:val="en-US" w:eastAsia="zh-CN" w:bidi="ar-SA"/>
        </w:rPr>
        <w:t>4.2</w:t>
      </w:r>
      <w:r>
        <w:rPr>
          <w:rFonts w:hint="eastAsia" w:ascii="宋体" w:hAnsi="宋体" w:eastAsia="宋体" w:cs="宋体"/>
          <w:color w:val="auto"/>
          <w:sz w:val="21"/>
          <w:szCs w:val="21"/>
          <w:highlight w:val="none"/>
        </w:rPr>
        <w:t>投标人应按照本须知的相关规定对投标文件的修改补充内容予以编制、装订与签署、密封与标志，并在密封袋（箱）上标明“修改</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补充”或“撤回”字样。</w:t>
      </w:r>
    </w:p>
    <w:p w14:paraId="4E2C053F">
      <w:pPr>
        <w:numPr>
          <w:ilvl w:val="1"/>
          <w:numId w:val="0"/>
        </w:numPr>
        <w:tabs>
          <w:tab w:val="left" w:pos="851"/>
        </w:tabs>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hAnsi="宋体" w:cs="宋体"/>
          <w:color w:val="auto"/>
          <w:sz w:val="21"/>
          <w:szCs w:val="21"/>
          <w:lang w:val="en-US" w:eastAsia="zh-CN" w:bidi="ar-SA"/>
        </w:rPr>
        <w:t>4.3</w:t>
      </w:r>
      <w:r>
        <w:rPr>
          <w:rFonts w:hint="eastAsia" w:ascii="宋体" w:hAnsi="宋体" w:eastAsia="宋体" w:cs="宋体"/>
          <w:color w:val="auto"/>
          <w:sz w:val="21"/>
          <w:szCs w:val="21"/>
          <w:highlight w:val="none"/>
        </w:rPr>
        <w:t>在规定的提交投标文件截止时间后至投标有效期终止之前，投标人不得修改补充或撤回其投标文件。</w:t>
      </w:r>
    </w:p>
    <w:p w14:paraId="5BAA4777">
      <w:pPr>
        <w:pStyle w:val="29"/>
        <w:numPr>
          <w:ilvl w:val="0"/>
          <w:numId w:val="0"/>
        </w:numPr>
        <w:tabs>
          <w:tab w:val="left" w:pos="851"/>
        </w:tabs>
        <w:ind w:leftChars="0"/>
        <w:rPr>
          <w:rFonts w:hint="eastAsia" w:ascii="宋体" w:hAnsi="宋体" w:eastAsia="宋体" w:cs="宋体"/>
          <w:color w:val="auto"/>
          <w:highlight w:val="none"/>
        </w:rPr>
      </w:pPr>
      <w:bookmarkStart w:id="144" w:name="_Toc162409995"/>
      <w:bookmarkStart w:id="145" w:name="_Toc216695526"/>
      <w:bookmarkStart w:id="146" w:name="_Toc481596031"/>
      <w:bookmarkStart w:id="147" w:name="_Toc162409855"/>
      <w:bookmarkStart w:id="148" w:name="_Toc362441712"/>
      <w:r>
        <w:rPr>
          <w:rFonts w:hint="eastAsia" w:hAnsi="宋体" w:cs="宋体"/>
          <w:color w:val="auto"/>
          <w:highlight w:val="none"/>
          <w:lang w:val="en-US" w:eastAsia="zh-CN"/>
        </w:rPr>
        <w:t>5.</w:t>
      </w:r>
      <w:r>
        <w:rPr>
          <w:rFonts w:hint="eastAsia" w:ascii="宋体" w:hAnsi="宋体" w:eastAsia="宋体" w:cs="宋体"/>
          <w:color w:val="auto"/>
          <w:highlight w:val="none"/>
        </w:rPr>
        <w:t>投标有效期</w:t>
      </w:r>
      <w:bookmarkEnd w:id="144"/>
      <w:bookmarkEnd w:id="145"/>
      <w:bookmarkEnd w:id="146"/>
      <w:bookmarkEnd w:id="147"/>
      <w:bookmarkEnd w:id="148"/>
    </w:p>
    <w:p w14:paraId="5E4A467D">
      <w:pPr>
        <w:numPr>
          <w:ilvl w:val="0"/>
          <w:numId w:val="0"/>
        </w:numPr>
        <w:tabs>
          <w:tab w:val="left" w:pos="851"/>
        </w:tabs>
        <w:spacing w:line="360" w:lineRule="auto"/>
        <w:ind w:leftChars="20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5.1</w:t>
      </w:r>
      <w:r>
        <w:rPr>
          <w:rFonts w:hint="eastAsia" w:ascii="宋体" w:hAnsi="宋体" w:eastAsia="宋体" w:cs="宋体"/>
          <w:color w:val="auto"/>
          <w:sz w:val="21"/>
          <w:szCs w:val="21"/>
          <w:highlight w:val="none"/>
        </w:rPr>
        <w:t>投标有效期为</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 xml:space="preserve">0 </w:t>
      </w:r>
      <w:r>
        <w:rPr>
          <w:rFonts w:hint="eastAsia" w:ascii="宋体" w:hAnsi="宋体" w:eastAsia="宋体" w:cs="宋体"/>
          <w:color w:val="auto"/>
          <w:sz w:val="21"/>
          <w:szCs w:val="21"/>
          <w:highlight w:val="none"/>
        </w:rPr>
        <w:t>天</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自提交投标文件截止之日起计算，在此期限内投标人的投标保持有效。</w:t>
      </w:r>
    </w:p>
    <w:p w14:paraId="7C799ECC">
      <w:pPr>
        <w:numPr>
          <w:ilvl w:val="0"/>
          <w:numId w:val="0"/>
        </w:numPr>
        <w:tabs>
          <w:tab w:val="left" w:pos="851"/>
        </w:tabs>
        <w:spacing w:line="360" w:lineRule="auto"/>
        <w:ind w:leftChars="20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5.2</w:t>
      </w:r>
      <w:r>
        <w:rPr>
          <w:rFonts w:hint="eastAsia" w:ascii="宋体" w:hAnsi="宋体" w:eastAsia="宋体" w:cs="宋体"/>
          <w:color w:val="auto"/>
          <w:sz w:val="21"/>
          <w:szCs w:val="21"/>
          <w:highlight w:val="none"/>
        </w:rPr>
        <w:t>在原投标有效期结束前，出现特殊情况的，招标人将要求所有投标人延长投标有效期，关于要求和相关答复均以电子邮件形式进行。投标人同意延长的，投标人不得要求或被允许修改其投标文件的实质性内容，但应当相应延长其投标保证担保的有效期；投标人拒绝延长的，其投标失效，但投标人有权收回其投标保证担保。</w:t>
      </w:r>
    </w:p>
    <w:p w14:paraId="102AA255">
      <w:pPr>
        <w:pStyle w:val="2"/>
        <w:spacing w:before="360" w:beforeLines="150" w:after="360" w:afterLines="150"/>
        <w:jc w:val="center"/>
        <w:rPr>
          <w:rFonts w:hint="eastAsia" w:ascii="宋体" w:hAnsi="宋体" w:eastAsia="宋体" w:cs="宋体"/>
          <w:color w:val="auto"/>
          <w:sz w:val="21"/>
          <w:szCs w:val="21"/>
          <w:highlight w:val="none"/>
        </w:rPr>
      </w:pPr>
      <w:bookmarkStart w:id="149" w:name="_Toc486604844"/>
      <w:r>
        <w:rPr>
          <w:rFonts w:hint="eastAsia" w:ascii="宋体" w:hAnsi="宋体" w:eastAsia="宋体" w:cs="宋体"/>
          <w:color w:val="auto"/>
          <w:sz w:val="32"/>
          <w:szCs w:val="32"/>
          <w:highlight w:val="none"/>
        </w:rPr>
        <w:t>第</w:t>
      </w:r>
      <w:r>
        <w:rPr>
          <w:rFonts w:hint="eastAsia" w:ascii="宋体" w:hAnsi="宋体" w:eastAsia="宋体" w:cs="宋体"/>
          <w:color w:val="auto"/>
          <w:sz w:val="32"/>
          <w:szCs w:val="32"/>
          <w:highlight w:val="none"/>
          <w:lang w:val="en-US" w:eastAsia="zh-CN"/>
        </w:rPr>
        <w:t>四</w:t>
      </w:r>
      <w:r>
        <w:rPr>
          <w:rFonts w:hint="eastAsia" w:ascii="宋体" w:hAnsi="宋体" w:eastAsia="宋体" w:cs="宋体"/>
          <w:color w:val="auto"/>
          <w:sz w:val="32"/>
          <w:szCs w:val="32"/>
          <w:highlight w:val="none"/>
        </w:rPr>
        <w:t>部分</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投标文件评审</w:t>
      </w:r>
      <w:bookmarkEnd w:id="149"/>
    </w:p>
    <w:p w14:paraId="56746ACD">
      <w:pPr>
        <w:pStyle w:val="29"/>
        <w:numPr>
          <w:ilvl w:val="0"/>
          <w:numId w:val="0"/>
        </w:numPr>
        <w:tabs>
          <w:tab w:val="left" w:pos="851"/>
        </w:tabs>
        <w:ind w:leftChars="0"/>
        <w:rPr>
          <w:rFonts w:hint="eastAsia" w:ascii="宋体" w:hAnsi="宋体" w:eastAsia="宋体" w:cs="宋体"/>
          <w:color w:val="auto"/>
          <w:highlight w:val="none"/>
        </w:rPr>
      </w:pPr>
      <w:bookmarkStart w:id="150" w:name="_Toc362441713"/>
      <w:bookmarkStart w:id="151" w:name="_Toc481596032"/>
      <w:bookmarkStart w:id="152" w:name="_Toc162409998"/>
      <w:bookmarkStart w:id="153" w:name="_Toc216695527"/>
      <w:bookmarkStart w:id="154" w:name="_Toc162409858"/>
      <w:bookmarkStart w:id="155" w:name="_Toc486604845"/>
      <w:r>
        <w:rPr>
          <w:rFonts w:hint="eastAsia" w:hAnsi="宋体" w:cs="宋体"/>
          <w:color w:val="auto"/>
          <w:highlight w:val="none"/>
          <w:lang w:val="en-US" w:eastAsia="zh-CN"/>
        </w:rPr>
        <w:t>1.</w:t>
      </w:r>
      <w:r>
        <w:rPr>
          <w:rFonts w:hint="eastAsia" w:ascii="宋体" w:hAnsi="宋体" w:eastAsia="宋体" w:cs="宋体"/>
          <w:color w:val="auto"/>
          <w:highlight w:val="none"/>
        </w:rPr>
        <w:t>废标条件</w:t>
      </w:r>
      <w:bookmarkEnd w:id="150"/>
      <w:bookmarkEnd w:id="151"/>
    </w:p>
    <w:p w14:paraId="44485D9F">
      <w:pPr>
        <w:keepNext w:val="0"/>
        <w:keepLines w:val="0"/>
        <w:pageBreakBefore w:val="0"/>
        <w:widowControl w:val="0"/>
        <w:kinsoku/>
        <w:wordWrap/>
        <w:overflowPunct/>
        <w:topLinePunct w:val="0"/>
        <w:autoSpaceDE/>
        <w:autoSpaceDN/>
        <w:bidi w:val="0"/>
        <w:adjustRightInd w:val="0"/>
        <w:snapToGrid/>
        <w:spacing w:line="360" w:lineRule="auto"/>
        <w:ind w:left="0" w:leftChars="0" w:firstLine="420" w:firstLineChars="200"/>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投标书有下列情况之一者视为废标（包括但不限于下列情况）</w:t>
      </w:r>
      <w:bookmarkStart w:id="187" w:name="_GoBack"/>
      <w:r>
        <w:rPr>
          <w:rFonts w:hint="eastAsia" w:hAnsi="宋体" w:cs="宋体"/>
          <w:bCs/>
          <w:color w:val="auto"/>
          <w:sz w:val="21"/>
          <w:szCs w:val="21"/>
          <w:highlight w:val="none"/>
          <w:lang w:eastAsia="zh-CN"/>
        </w:rPr>
        <w:t>，</w:t>
      </w:r>
      <w:bookmarkEnd w:id="187"/>
      <w:r>
        <w:rPr>
          <w:rFonts w:hint="eastAsia" w:ascii="宋体" w:hAnsi="宋体" w:eastAsia="宋体" w:cs="宋体"/>
          <w:bCs/>
          <w:color w:val="auto"/>
          <w:sz w:val="21"/>
          <w:szCs w:val="21"/>
          <w:highlight w:val="none"/>
        </w:rPr>
        <w:t>对被认定无效标书的，招标方无须对投标人进行解释：</w:t>
      </w:r>
    </w:p>
    <w:p w14:paraId="618B0510">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未按招标文件规定予以包装、密封、盖章的；</w:t>
      </w:r>
    </w:p>
    <w:p w14:paraId="3C8B86EC">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投标文件内容不全或未按规定填写或字迹模糊、辨认不清或涂改未加盖公章确认的；</w:t>
      </w:r>
    </w:p>
    <w:p w14:paraId="4980919A">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“投标函”和“报价表”未经企业法定代表人或其委托代理人签字或未加盖公司公章；</w:t>
      </w:r>
    </w:p>
    <w:p w14:paraId="6F716892">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委托代理人没有合法、有效授权委托书的；</w:t>
      </w:r>
    </w:p>
    <w:p w14:paraId="1680CE16">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投标文件对招标文件实质性要求没有响应的；</w:t>
      </w:r>
    </w:p>
    <w:p w14:paraId="2195CE46">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超过截标时间投标的；</w:t>
      </w:r>
    </w:p>
    <w:p w14:paraId="43C1D41D">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技术标评审不合格的；</w:t>
      </w:r>
    </w:p>
    <w:p w14:paraId="05A65E0F">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不按照招标方提供的《</w:t>
      </w:r>
      <w:r>
        <w:rPr>
          <w:rFonts w:hint="eastAsia" w:ascii="宋体" w:hAnsi="宋体" w:eastAsia="宋体" w:cs="宋体"/>
          <w:bCs/>
          <w:color w:val="auto"/>
          <w:szCs w:val="21"/>
          <w:highlight w:val="none"/>
          <w:lang w:val="en-US" w:eastAsia="zh-CN"/>
        </w:rPr>
        <w:t>招标清单</w:t>
      </w:r>
      <w:r>
        <w:rPr>
          <w:rFonts w:hint="eastAsia" w:ascii="宋体" w:hAnsi="宋体" w:eastAsia="宋体" w:cs="宋体"/>
          <w:bCs/>
          <w:color w:val="auto"/>
          <w:szCs w:val="21"/>
          <w:highlight w:val="none"/>
        </w:rPr>
        <w:t>》格式报价的；</w:t>
      </w:r>
    </w:p>
    <w:p w14:paraId="78717D74">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发现对我公司人员请客送礼及类似情形的；</w:t>
      </w:r>
    </w:p>
    <w:p w14:paraId="4E281D0B">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有明显串标、围标现象的；</w:t>
      </w:r>
    </w:p>
    <w:p w14:paraId="4A29D648">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投标人的报价明显低于其他投标报价或者在设有成本价时低于成本价，使得其投标报价可能低于成本价的，应当要求该投标人</w:t>
      </w:r>
      <w:r>
        <w:rPr>
          <w:rFonts w:hint="eastAsia" w:ascii="宋体" w:hAnsi="宋体" w:eastAsia="宋体" w:cs="宋体"/>
          <w:bCs/>
          <w:color w:val="auto"/>
          <w:szCs w:val="21"/>
          <w:highlight w:val="none"/>
          <w:lang w:eastAsia="zh-CN"/>
        </w:rPr>
        <w:t>作出</w:t>
      </w:r>
      <w:r>
        <w:rPr>
          <w:rFonts w:hint="eastAsia" w:ascii="宋体" w:hAnsi="宋体" w:eastAsia="宋体" w:cs="宋体"/>
          <w:bCs/>
          <w:color w:val="auto"/>
          <w:szCs w:val="21"/>
          <w:highlight w:val="none"/>
        </w:rPr>
        <w:t>书面说明并提供相关证明材料。投标人不能合理说明或者不能提供相关证明材料的，由评标小组认定该投标人以低于成本报价竞标。</w:t>
      </w:r>
    </w:p>
    <w:p w14:paraId="060E448E">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投标人提出不同的工程验收、计量、支付办法。</w:t>
      </w:r>
    </w:p>
    <w:p w14:paraId="63D17329">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人以他人的名义挂靠投标、相互串通投标的、通过弄虚作假骗取中标的、采用行贿等违法手段试图中标的，定标前发现的其投标报废标处理，定标后发现的取消其中标资格，同时，该投标人立即列入《供应商黑名单</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5年内不得在集团范围内参与任何投标或业务。</w:t>
      </w:r>
    </w:p>
    <w:p w14:paraId="44574049">
      <w:pPr>
        <w:pStyle w:val="67"/>
        <w:numPr>
          <w:ilvl w:val="0"/>
          <w:numId w:val="11"/>
        </w:numPr>
        <w:tabs>
          <w:tab w:val="left" w:pos="851"/>
        </w:tabs>
        <w:spacing w:line="360" w:lineRule="auto"/>
        <w:ind w:left="0" w:leftChars="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招标方认定的其他情形。</w:t>
      </w:r>
    </w:p>
    <w:bookmarkEnd w:id="152"/>
    <w:bookmarkEnd w:id="153"/>
    <w:bookmarkEnd w:id="154"/>
    <w:p w14:paraId="4DB7C794">
      <w:pPr>
        <w:pStyle w:val="29"/>
        <w:numPr>
          <w:ilvl w:val="0"/>
          <w:numId w:val="0"/>
        </w:numPr>
        <w:tabs>
          <w:tab w:val="left" w:pos="851"/>
        </w:tabs>
        <w:ind w:leftChars="0"/>
        <w:rPr>
          <w:rFonts w:hint="eastAsia" w:ascii="宋体" w:hAnsi="宋体" w:eastAsia="宋体" w:cs="宋体"/>
          <w:color w:val="auto"/>
          <w:highlight w:val="none"/>
          <w:lang w:val="en-US" w:eastAsia="zh-CN"/>
        </w:rPr>
      </w:pPr>
      <w:bookmarkStart w:id="156" w:name="_Toc481596034"/>
      <w:bookmarkStart w:id="157" w:name="_Toc216695528"/>
      <w:bookmarkStart w:id="158" w:name="_Toc162410001"/>
      <w:bookmarkStart w:id="159" w:name="_Toc362441715"/>
      <w:bookmarkStart w:id="160" w:name="_Toc162409861"/>
    </w:p>
    <w:p w14:paraId="7F9D6BB2">
      <w:pPr>
        <w:pStyle w:val="29"/>
        <w:numPr>
          <w:ilvl w:val="0"/>
          <w:numId w:val="0"/>
        </w:numPr>
        <w:tabs>
          <w:tab w:val="left" w:pos="851"/>
        </w:tabs>
        <w:ind w:leftChars="0"/>
        <w:rPr>
          <w:rFonts w:hint="eastAsia" w:ascii="宋体" w:hAnsi="宋体" w:eastAsia="宋体" w:cs="宋体"/>
          <w:color w:val="auto"/>
          <w:highlight w:val="none"/>
        </w:rPr>
      </w:pPr>
      <w:r>
        <w:rPr>
          <w:rFonts w:hint="eastAsia" w:hAnsi="宋体" w:cs="宋体"/>
          <w:color w:val="auto"/>
          <w:highlight w:val="none"/>
          <w:lang w:val="en-US" w:eastAsia="zh-CN"/>
        </w:rPr>
        <w:t>2.</w:t>
      </w:r>
      <w:r>
        <w:rPr>
          <w:rFonts w:hint="eastAsia" w:ascii="宋体" w:hAnsi="宋体" w:eastAsia="宋体" w:cs="宋体"/>
          <w:color w:val="auto"/>
          <w:highlight w:val="none"/>
        </w:rPr>
        <w:t>评标</w:t>
      </w:r>
      <w:bookmarkEnd w:id="156"/>
      <w:bookmarkEnd w:id="157"/>
      <w:bookmarkEnd w:id="158"/>
      <w:bookmarkEnd w:id="159"/>
      <w:bookmarkEnd w:id="160"/>
    </w:p>
    <w:p w14:paraId="029A4613">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2.1</w:t>
      </w:r>
      <w:r>
        <w:rPr>
          <w:rFonts w:hint="eastAsia" w:ascii="宋体" w:hAnsi="宋体" w:eastAsia="宋体" w:cs="宋体"/>
          <w:color w:val="auto"/>
          <w:sz w:val="21"/>
          <w:szCs w:val="21"/>
          <w:highlight w:val="none"/>
        </w:rPr>
        <w:t>本招标工程的评标活动由招标人组建的评标小组负责。</w:t>
      </w:r>
    </w:p>
    <w:p w14:paraId="78405B55">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2.2</w:t>
      </w:r>
      <w:r>
        <w:rPr>
          <w:rFonts w:hint="eastAsia" w:ascii="宋体" w:hAnsi="宋体" w:eastAsia="宋体" w:cs="宋体"/>
          <w:color w:val="auto"/>
          <w:sz w:val="21"/>
          <w:szCs w:val="21"/>
          <w:highlight w:val="none"/>
        </w:rPr>
        <w:t>招标方在评标过程中会综合考虑到投标人的实力、信誉、业绩、工期、技术含量、产品质量、报价等因素。</w:t>
      </w:r>
    </w:p>
    <w:p w14:paraId="7C627DCE">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2.3</w:t>
      </w:r>
      <w:r>
        <w:rPr>
          <w:rFonts w:hint="eastAsia" w:ascii="宋体" w:hAnsi="宋体" w:eastAsia="宋体" w:cs="宋体"/>
          <w:color w:val="auto"/>
          <w:sz w:val="21"/>
          <w:szCs w:val="21"/>
          <w:highlight w:val="none"/>
        </w:rPr>
        <w:t>招标人将判断投标人是否能圆满地履行合同。如果招标人认为投标人没有能力或资格履行合同，他的投标书将被拒绝。</w:t>
      </w:r>
    </w:p>
    <w:p w14:paraId="55F63A05">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2.4</w:t>
      </w:r>
      <w:r>
        <w:rPr>
          <w:rFonts w:hint="eastAsia" w:ascii="宋体" w:hAnsi="宋体" w:eastAsia="宋体" w:cs="宋体"/>
          <w:color w:val="auto"/>
          <w:sz w:val="21"/>
          <w:szCs w:val="21"/>
          <w:highlight w:val="none"/>
        </w:rPr>
        <w:t>评标方法：</w:t>
      </w:r>
      <w:r>
        <w:rPr>
          <w:rFonts w:hint="eastAsia" w:ascii="宋体" w:hAnsi="宋体" w:eastAsia="宋体" w:cs="宋体"/>
          <w:color w:val="auto"/>
          <w:sz w:val="21"/>
          <w:szCs w:val="21"/>
          <w:highlight w:val="none"/>
          <w:u w:val="single"/>
        </w:rPr>
        <w:t>综合评标法</w:t>
      </w:r>
      <w:r>
        <w:rPr>
          <w:rFonts w:hint="eastAsia" w:ascii="宋体" w:hAnsi="宋体" w:eastAsia="宋体" w:cs="宋体"/>
          <w:color w:val="auto"/>
          <w:sz w:val="21"/>
          <w:szCs w:val="21"/>
          <w:highlight w:val="none"/>
        </w:rPr>
        <w:t>。</w:t>
      </w:r>
    </w:p>
    <w:p w14:paraId="5DAD6D24">
      <w:pPr>
        <w:numPr>
          <w:ilvl w:val="0"/>
          <w:numId w:val="0"/>
        </w:numPr>
        <w:tabs>
          <w:tab w:val="left" w:pos="851"/>
        </w:tabs>
        <w:spacing w:line="360" w:lineRule="auto"/>
        <w:ind w:leftChars="-405"/>
        <w:jc w:val="both"/>
        <w:rPr>
          <w:rFonts w:hint="eastAsia" w:ascii="宋体" w:hAnsi="宋体" w:eastAsia="宋体" w:cs="宋体"/>
          <w:color w:val="auto"/>
          <w:sz w:val="21"/>
          <w:szCs w:val="21"/>
          <w:highlight w:val="none"/>
        </w:rPr>
      </w:pPr>
    </w:p>
    <w:p w14:paraId="37282B71">
      <w:pPr>
        <w:pStyle w:val="29"/>
        <w:numPr>
          <w:ilvl w:val="0"/>
          <w:numId w:val="0"/>
        </w:numPr>
        <w:tabs>
          <w:tab w:val="left" w:pos="851"/>
        </w:tabs>
        <w:ind w:leftChars="0"/>
        <w:rPr>
          <w:rFonts w:hint="eastAsia" w:ascii="宋体" w:hAnsi="宋体" w:eastAsia="宋体" w:cs="宋体"/>
          <w:color w:val="auto"/>
          <w:highlight w:val="none"/>
        </w:rPr>
      </w:pPr>
      <w:r>
        <w:rPr>
          <w:rFonts w:hint="eastAsia" w:hAnsi="宋体" w:cs="宋体"/>
          <w:color w:val="auto"/>
          <w:highlight w:val="none"/>
          <w:lang w:val="en-US" w:eastAsia="zh-CN"/>
        </w:rPr>
        <w:t>3.</w:t>
      </w:r>
      <w:r>
        <w:rPr>
          <w:rFonts w:hint="eastAsia" w:ascii="宋体" w:hAnsi="宋体" w:eastAsia="宋体" w:cs="宋体"/>
          <w:color w:val="auto"/>
          <w:highlight w:val="none"/>
        </w:rPr>
        <w:t>投标文件的澄清</w:t>
      </w:r>
    </w:p>
    <w:p w14:paraId="77791752">
      <w:pPr>
        <w:pStyle w:val="67"/>
        <w:numPr>
          <w:ilvl w:val="-1"/>
          <w:numId w:val="0"/>
        </w:numPr>
        <w:tabs>
          <w:tab w:val="left" w:pos="851"/>
        </w:tabs>
        <w:spacing w:line="360" w:lineRule="auto"/>
        <w:ind w:left="480" w:leftChars="200" w:firstLine="0" w:firstLineChars="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3.1</w:t>
      </w:r>
      <w:r>
        <w:rPr>
          <w:rFonts w:hint="eastAsia" w:ascii="宋体" w:hAnsi="宋体" w:eastAsia="宋体" w:cs="宋体"/>
          <w:color w:val="auto"/>
          <w:szCs w:val="21"/>
          <w:highlight w:val="none"/>
        </w:rPr>
        <w:t>在评标阶段，招标人认为需要时，可书面通知投标人要求澄清投标文件的问题，或者要求补充某些资料，包括单价和分析资料；</w:t>
      </w:r>
    </w:p>
    <w:p w14:paraId="45DC7297">
      <w:pPr>
        <w:pStyle w:val="67"/>
        <w:numPr>
          <w:ilvl w:val="-1"/>
          <w:numId w:val="0"/>
        </w:numPr>
        <w:tabs>
          <w:tab w:val="left" w:pos="851"/>
        </w:tabs>
        <w:spacing w:line="360" w:lineRule="auto"/>
        <w:ind w:left="480" w:leftChars="200" w:firstLine="0" w:firstLineChars="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3.2</w:t>
      </w:r>
      <w:r>
        <w:rPr>
          <w:rFonts w:hint="eastAsia" w:ascii="宋体" w:hAnsi="宋体" w:eastAsia="宋体" w:cs="宋体"/>
          <w:color w:val="auto"/>
          <w:szCs w:val="21"/>
          <w:highlight w:val="none"/>
        </w:rPr>
        <w:t>有关澄清的要求和答复，均应以书面文件进行。</w:t>
      </w:r>
    </w:p>
    <w:p w14:paraId="1D5C8E64">
      <w:pPr>
        <w:pStyle w:val="67"/>
        <w:numPr>
          <w:ilvl w:val="-1"/>
          <w:numId w:val="0"/>
        </w:numPr>
        <w:tabs>
          <w:tab w:val="left" w:pos="851"/>
        </w:tabs>
        <w:spacing w:line="360" w:lineRule="auto"/>
        <w:ind w:left="480" w:leftChars="200" w:firstLine="0" w:firstLineChars="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3.3</w:t>
      </w:r>
      <w:r>
        <w:rPr>
          <w:rFonts w:hint="eastAsia" w:ascii="宋体" w:hAnsi="宋体" w:eastAsia="宋体" w:cs="宋体"/>
          <w:color w:val="auto"/>
          <w:szCs w:val="21"/>
          <w:highlight w:val="none"/>
        </w:rPr>
        <w:t>如发现投标人的投标文件可产生多种理解，可以要求投标人对标书予以澄清和修正，并以书面澄清形式列明澄清内容提交招标人作为投标文件的补充内容，密封提交，由采购经办人再次组织开标，澄清实质上改变了投标内容的，该投标人投标文件作废</w:t>
      </w:r>
    </w:p>
    <w:p w14:paraId="5A7EE7CA">
      <w:pPr>
        <w:pStyle w:val="67"/>
        <w:numPr>
          <w:ilvl w:val="-1"/>
          <w:numId w:val="0"/>
        </w:numPr>
        <w:tabs>
          <w:tab w:val="left" w:pos="851"/>
        </w:tabs>
        <w:spacing w:line="360" w:lineRule="auto"/>
        <w:ind w:left="480" w:leftChars="200" w:firstLine="0" w:firstLineChars="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3.4</w:t>
      </w:r>
      <w:r>
        <w:rPr>
          <w:rFonts w:hint="eastAsia" w:ascii="宋体" w:hAnsi="宋体" w:eastAsia="宋体" w:cs="宋体"/>
          <w:color w:val="auto"/>
          <w:szCs w:val="21"/>
          <w:highlight w:val="none"/>
        </w:rPr>
        <w:t>对投标报价的澄清应遵循以下原则：采用工程量清单计价方式的，对投标报价的澄清应限于数据累加有误、小数点有误，在此基础上的澄清结果才允许调整投标总价，其它澄清均不得改变投标价格。</w:t>
      </w:r>
    </w:p>
    <w:p w14:paraId="702FAC1C">
      <w:pPr>
        <w:pStyle w:val="29"/>
        <w:numPr>
          <w:ilvl w:val="0"/>
          <w:numId w:val="0"/>
        </w:numPr>
        <w:tabs>
          <w:tab w:val="left" w:pos="851"/>
        </w:tabs>
        <w:ind w:leftChars="0"/>
        <w:rPr>
          <w:rFonts w:hint="eastAsia" w:ascii="宋体" w:hAnsi="宋体" w:eastAsia="宋体" w:cs="宋体"/>
          <w:color w:val="auto"/>
          <w:highlight w:val="none"/>
        </w:rPr>
      </w:pPr>
      <w:bookmarkStart w:id="161" w:name="_Toc216695529"/>
      <w:bookmarkStart w:id="162" w:name="_Toc481596035"/>
      <w:bookmarkStart w:id="163" w:name="_Toc362441716"/>
      <w:r>
        <w:rPr>
          <w:rFonts w:hint="eastAsia" w:hAnsi="宋体" w:cs="宋体"/>
          <w:color w:val="auto"/>
          <w:highlight w:val="none"/>
          <w:lang w:val="en-US" w:eastAsia="zh-CN"/>
        </w:rPr>
        <w:t>4.</w:t>
      </w:r>
      <w:r>
        <w:rPr>
          <w:rFonts w:hint="eastAsia" w:ascii="宋体" w:hAnsi="宋体" w:eastAsia="宋体" w:cs="宋体"/>
          <w:color w:val="auto"/>
          <w:highlight w:val="none"/>
        </w:rPr>
        <w:t>中标</w:t>
      </w:r>
      <w:bookmarkEnd w:id="161"/>
      <w:bookmarkEnd w:id="162"/>
      <w:bookmarkEnd w:id="163"/>
    </w:p>
    <w:p w14:paraId="5571B3BC">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4.1</w:t>
      </w:r>
      <w:r>
        <w:rPr>
          <w:rFonts w:hint="eastAsia" w:ascii="宋体" w:hAnsi="宋体" w:eastAsia="宋体" w:cs="宋体"/>
          <w:color w:val="auto"/>
          <w:sz w:val="21"/>
          <w:szCs w:val="21"/>
          <w:highlight w:val="none"/>
        </w:rPr>
        <w:t>招标人可以向中标人发出《中标通知书》。</w:t>
      </w:r>
    </w:p>
    <w:p w14:paraId="2441A5D5">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4.2</w:t>
      </w:r>
      <w:r>
        <w:rPr>
          <w:rFonts w:hint="eastAsia" w:ascii="宋体" w:hAnsi="宋体" w:eastAsia="宋体" w:cs="宋体"/>
          <w:color w:val="auto"/>
          <w:sz w:val="21"/>
          <w:szCs w:val="21"/>
          <w:highlight w:val="none"/>
        </w:rPr>
        <w:t>《中标通知书》为合同文件的组成部分。</w:t>
      </w:r>
    </w:p>
    <w:p w14:paraId="102EB5E5">
      <w:pPr>
        <w:pStyle w:val="29"/>
        <w:numPr>
          <w:ilvl w:val="0"/>
          <w:numId w:val="0"/>
        </w:numPr>
        <w:tabs>
          <w:tab w:val="left" w:pos="851"/>
        </w:tabs>
        <w:ind w:leftChars="0"/>
        <w:rPr>
          <w:rFonts w:hint="eastAsia" w:ascii="宋体" w:hAnsi="宋体" w:eastAsia="宋体" w:cs="宋体"/>
          <w:color w:val="auto"/>
          <w:highlight w:val="none"/>
        </w:rPr>
      </w:pPr>
      <w:bookmarkStart w:id="164" w:name="_Toc162410006"/>
      <w:bookmarkStart w:id="165" w:name="_Toc362441717"/>
      <w:bookmarkStart w:id="166" w:name="_Toc216695530"/>
      <w:bookmarkStart w:id="167" w:name="_Toc162409866"/>
      <w:bookmarkStart w:id="168" w:name="_Toc481596036"/>
      <w:r>
        <w:rPr>
          <w:rFonts w:hint="eastAsia" w:hAnsi="宋体" w:cs="宋体"/>
          <w:color w:val="auto"/>
          <w:highlight w:val="none"/>
          <w:lang w:val="en-US" w:eastAsia="zh-CN"/>
        </w:rPr>
        <w:t>5.</w:t>
      </w:r>
      <w:r>
        <w:rPr>
          <w:rFonts w:hint="eastAsia" w:ascii="宋体" w:hAnsi="宋体" w:eastAsia="宋体" w:cs="宋体"/>
          <w:color w:val="auto"/>
          <w:highlight w:val="none"/>
        </w:rPr>
        <w:t>合同</w:t>
      </w:r>
      <w:bookmarkEnd w:id="164"/>
      <w:bookmarkEnd w:id="165"/>
      <w:bookmarkEnd w:id="166"/>
      <w:bookmarkEnd w:id="167"/>
      <w:bookmarkEnd w:id="168"/>
      <w:r>
        <w:rPr>
          <w:rFonts w:hint="eastAsia" w:ascii="宋体" w:hAnsi="宋体" w:eastAsia="宋体" w:cs="宋体"/>
          <w:color w:val="auto"/>
          <w:highlight w:val="none"/>
        </w:rPr>
        <w:t>签署</w:t>
      </w:r>
    </w:p>
    <w:p w14:paraId="7DAC9A74">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5.1</w:t>
      </w:r>
      <w:r>
        <w:rPr>
          <w:rFonts w:hint="eastAsia" w:ascii="宋体" w:hAnsi="宋体" w:eastAsia="宋体" w:cs="宋体"/>
          <w:color w:val="auto"/>
          <w:sz w:val="21"/>
          <w:szCs w:val="21"/>
          <w:highlight w:val="none"/>
        </w:rPr>
        <w:t>中标人应按《中标通知书》指定的时间、地点和程序与招标人签订合同。</w:t>
      </w:r>
    </w:p>
    <w:p w14:paraId="2D9FE674">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5.2</w:t>
      </w:r>
      <w:r>
        <w:rPr>
          <w:rFonts w:hint="eastAsia" w:ascii="宋体" w:hAnsi="宋体" w:eastAsia="宋体" w:cs="宋体"/>
          <w:color w:val="auto"/>
          <w:sz w:val="21"/>
          <w:szCs w:val="21"/>
          <w:highlight w:val="none"/>
        </w:rPr>
        <w:t>中标人如不按本须知的规定签订合同，则招标人将有权取消其中标资格，并没收其投标保证金，对因此给招标人造成的损失超过投标保证金的，还应当对超过部分予以赔偿，同时依法承担相应的法律责任</w:t>
      </w:r>
    </w:p>
    <w:p w14:paraId="0425C379">
      <w:pPr>
        <w:numPr>
          <w:ilvl w:val="-1"/>
          <w:numId w:val="0"/>
        </w:numPr>
        <w:tabs>
          <w:tab w:val="left" w:pos="851"/>
        </w:tabs>
        <w:spacing w:line="360" w:lineRule="auto"/>
        <w:ind w:left="480" w:leftChars="200" w:firstLine="0" w:firstLineChars="0"/>
        <w:jc w:val="both"/>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5.3</w:t>
      </w:r>
      <w:r>
        <w:rPr>
          <w:rFonts w:hint="eastAsia" w:ascii="宋体" w:hAnsi="宋体" w:eastAsia="宋体" w:cs="宋体"/>
          <w:color w:val="auto"/>
          <w:sz w:val="21"/>
          <w:szCs w:val="21"/>
          <w:highlight w:val="none"/>
        </w:rPr>
        <w:t>招标人保留在合同签订之前任何时候接受或拒绝任何投标，以及宣布招标程序无效或拒绝所有投标的权力，对受影响的投标人不承担任何责任，也无义务向受影响的投标人解释采取这一行动的理由。</w:t>
      </w:r>
    </w:p>
    <w:p w14:paraId="40989943">
      <w:pPr>
        <w:pStyle w:val="29"/>
        <w:numPr>
          <w:ilvl w:val="0"/>
          <w:numId w:val="0"/>
        </w:numPr>
        <w:tabs>
          <w:tab w:val="left" w:pos="851"/>
        </w:tabs>
        <w:ind w:leftChars="0"/>
        <w:rPr>
          <w:rFonts w:hint="eastAsia" w:ascii="宋体" w:hAnsi="宋体" w:eastAsia="宋体" w:cs="宋体"/>
          <w:color w:val="auto"/>
          <w:highlight w:val="none"/>
        </w:rPr>
      </w:pPr>
      <w:bookmarkStart w:id="169" w:name="_Toc187141297"/>
      <w:bookmarkStart w:id="170" w:name="_Toc362441718"/>
      <w:bookmarkStart w:id="171" w:name="_Toc216695531"/>
      <w:bookmarkStart w:id="172" w:name="_Toc185220412"/>
      <w:bookmarkStart w:id="173" w:name="_Toc185303164"/>
      <w:bookmarkStart w:id="174" w:name="_Toc187134797"/>
      <w:bookmarkStart w:id="175" w:name="_Toc481596037"/>
      <w:r>
        <w:rPr>
          <w:rFonts w:hint="eastAsia" w:hAnsi="宋体" w:cs="宋体"/>
          <w:color w:val="auto"/>
          <w:highlight w:val="none"/>
          <w:lang w:val="en-US" w:eastAsia="zh-CN"/>
        </w:rPr>
        <w:t>6.</w:t>
      </w:r>
      <w:r>
        <w:rPr>
          <w:rFonts w:hint="eastAsia" w:ascii="宋体" w:hAnsi="宋体" w:eastAsia="宋体" w:cs="宋体"/>
          <w:color w:val="auto"/>
          <w:highlight w:val="none"/>
        </w:rPr>
        <w:t>履约担保</w:t>
      </w:r>
      <w:bookmarkEnd w:id="169"/>
      <w:bookmarkEnd w:id="170"/>
      <w:bookmarkEnd w:id="171"/>
      <w:bookmarkEnd w:id="172"/>
      <w:bookmarkEnd w:id="173"/>
      <w:bookmarkEnd w:id="174"/>
      <w:bookmarkEnd w:id="175"/>
    </w:p>
    <w:p w14:paraId="1E858C66">
      <w:pPr>
        <w:keepNext w:val="0"/>
        <w:keepLines w:val="0"/>
        <w:pageBreakBefore w:val="0"/>
        <w:widowControl w:val="0"/>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6</w:t>
      </w:r>
      <w:r>
        <w:rPr>
          <w:rFonts w:hint="eastAsia" w:ascii="宋体" w:hAnsi="宋体" w:eastAsia="宋体" w:cs="宋体"/>
          <w:color w:val="auto"/>
          <w:sz w:val="21"/>
          <w:szCs w:val="21"/>
          <w:highlight w:val="none"/>
        </w:rPr>
        <w:t>.1 中标人须在收到中标通知书后3个工作日内、签订合同前，向招标人提交履约担保，担保金额为合同总价的</w:t>
      </w:r>
      <w:r>
        <w:rPr>
          <w:rFonts w:hint="eastAsia" w:hAnsi="宋体" w:cs="宋体"/>
          <w:color w:val="auto"/>
          <w:sz w:val="21"/>
          <w:szCs w:val="21"/>
          <w:highlight w:val="none"/>
          <w:u w:val="single"/>
          <w:lang w:val="en-US" w:eastAsia="zh-CN"/>
        </w:rPr>
        <w:t xml:space="preserve"> 10 </w:t>
      </w:r>
      <w:r>
        <w:rPr>
          <w:rFonts w:hint="eastAsia" w:ascii="宋体" w:hAnsi="宋体" w:eastAsia="宋体" w:cs="宋体"/>
          <w:color w:val="auto"/>
          <w:sz w:val="21"/>
          <w:szCs w:val="21"/>
          <w:highlight w:val="none"/>
        </w:rPr>
        <w:t>%。履约担保可采用以下形式之一： （1）银行转账（须从中标人基本账户转出）； （2）银行保函（须为见索即付型独立保函）。</w:t>
      </w:r>
    </w:p>
    <w:p w14:paraId="7C9879AB">
      <w:pPr>
        <w:keepNext w:val="0"/>
        <w:keepLines w:val="0"/>
        <w:pageBreakBefore w:val="0"/>
        <w:widowControl w:val="0"/>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6</w:t>
      </w:r>
      <w:r>
        <w:rPr>
          <w:rFonts w:hint="eastAsia" w:ascii="宋体" w:hAnsi="宋体" w:eastAsia="宋体" w:cs="宋体"/>
          <w:color w:val="auto"/>
          <w:sz w:val="21"/>
          <w:szCs w:val="21"/>
          <w:highlight w:val="none"/>
        </w:rPr>
        <w:t>.2 中标人未按要求提交履约担保的，招标人有权取消其中标资格，投标保证金不予退还，且招标人有权顺延与下一中标候选人签订合同或重新招标。</w:t>
      </w:r>
    </w:p>
    <w:p w14:paraId="4D39DFC7">
      <w:pPr>
        <w:keepNext w:val="0"/>
        <w:keepLines w:val="0"/>
        <w:pageBreakBefore w:val="0"/>
        <w:widowControl w:val="0"/>
        <w:tabs>
          <w:tab w:val="left" w:pos="851"/>
        </w:tabs>
        <w:kinsoku/>
        <w:wordWrap/>
        <w:overflowPunct/>
        <w:topLinePunct w:val="0"/>
        <w:autoSpaceDE/>
        <w:autoSpaceDN/>
        <w:bidi w:val="0"/>
        <w:adjustRightInd w:val="0"/>
        <w:snapToGrid/>
        <w:spacing w:line="360" w:lineRule="auto"/>
        <w:ind w:left="0" w:leftChars="0" w:firstLine="420" w:firstLineChars="200"/>
        <w:jc w:val="both"/>
        <w:textAlignment w:val="baseline"/>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6</w:t>
      </w:r>
      <w:r>
        <w:rPr>
          <w:rFonts w:hint="eastAsia" w:ascii="宋体" w:hAnsi="宋体" w:eastAsia="宋体" w:cs="宋体"/>
          <w:color w:val="auto"/>
          <w:sz w:val="21"/>
          <w:szCs w:val="21"/>
          <w:highlight w:val="none"/>
        </w:rPr>
        <w:t>.3 履约担保在工程竣工验收合格且结算完成后15个工作日内无息退还。如中标人履行合同义务过程中发生违约，招标人有权从履约担保中扣除相应违约金或损失赔偿金额。</w:t>
      </w:r>
    </w:p>
    <w:p w14:paraId="1B68609D">
      <w:pPr>
        <w:pStyle w:val="2"/>
        <w:spacing w:before="360" w:beforeLines="150" w:after="360" w:afterLines="150" w:line="360" w:lineRule="auto"/>
        <w:jc w:val="center"/>
        <w:rPr>
          <w:rFonts w:hint="eastAsia" w:ascii="宋体" w:hAnsi="宋体" w:eastAsia="宋体" w:cs="宋体"/>
          <w:color w:val="auto"/>
          <w:highlight w:val="none"/>
        </w:rPr>
      </w:pPr>
      <w:r>
        <w:rPr>
          <w:rFonts w:hint="eastAsia" w:ascii="宋体" w:hAnsi="宋体" w:eastAsia="宋体" w:cs="宋体"/>
          <w:color w:val="auto"/>
          <w:sz w:val="32"/>
          <w:szCs w:val="32"/>
          <w:highlight w:val="none"/>
        </w:rPr>
        <w:t>第</w:t>
      </w:r>
      <w:r>
        <w:rPr>
          <w:rFonts w:hint="eastAsia" w:ascii="宋体" w:hAnsi="宋体" w:eastAsia="宋体" w:cs="宋体"/>
          <w:color w:val="auto"/>
          <w:sz w:val="32"/>
          <w:szCs w:val="32"/>
          <w:highlight w:val="none"/>
          <w:lang w:val="en-US" w:eastAsia="zh-CN"/>
        </w:rPr>
        <w:t>五</w:t>
      </w:r>
      <w:r>
        <w:rPr>
          <w:rFonts w:hint="eastAsia" w:ascii="宋体" w:hAnsi="宋体" w:eastAsia="宋体" w:cs="宋体"/>
          <w:color w:val="auto"/>
          <w:sz w:val="32"/>
          <w:szCs w:val="32"/>
          <w:highlight w:val="none"/>
        </w:rPr>
        <w:t>部分</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其他说明</w:t>
      </w:r>
      <w:bookmarkEnd w:id="155"/>
    </w:p>
    <w:p w14:paraId="719B3FE3">
      <w:pPr>
        <w:pStyle w:val="29"/>
        <w:numPr>
          <w:ilvl w:val="0"/>
          <w:numId w:val="0"/>
        </w:numPr>
        <w:tabs>
          <w:tab w:val="left" w:pos="851"/>
        </w:tabs>
        <w:ind w:left="57" w:leftChars="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hAnsi="宋体" w:cs="宋体"/>
          <w:color w:val="auto"/>
          <w:highlight w:val="none"/>
          <w:lang w:val="en-US" w:eastAsia="zh-CN"/>
        </w:rPr>
        <w:t>.</w:t>
      </w:r>
      <w:r>
        <w:rPr>
          <w:rFonts w:hint="eastAsia" w:ascii="宋体" w:hAnsi="宋体" w:eastAsia="宋体" w:cs="宋体"/>
          <w:color w:val="auto"/>
          <w:highlight w:val="none"/>
        </w:rPr>
        <w:t>投标文件的语言及度量衡单位</w:t>
      </w:r>
    </w:p>
    <w:p w14:paraId="401E5C52">
      <w:pPr>
        <w:pStyle w:val="67"/>
        <w:numPr>
          <w:ilvl w:val="0"/>
          <w:numId w:val="12"/>
        </w:numPr>
        <w:tabs>
          <w:tab w:val="left" w:pos="851"/>
        </w:tabs>
        <w:spacing w:line="336"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与本工程有关的招标文件、投标文件以及招标人与投标人之间的所有往来函电和文件等均应使用简体中文。投标人随投标文件提供的证明文件和资料可以为</w:t>
      </w:r>
      <w:r>
        <w:rPr>
          <w:rFonts w:hint="eastAsia" w:ascii="宋体" w:hAnsi="宋体" w:cs="宋体"/>
          <w:color w:val="auto"/>
          <w:szCs w:val="21"/>
          <w:highlight w:val="none"/>
          <w:lang w:eastAsia="zh-CN"/>
        </w:rPr>
        <w:t>其他语言</w:t>
      </w:r>
      <w:r>
        <w:rPr>
          <w:rFonts w:hint="eastAsia" w:ascii="宋体" w:hAnsi="宋体" w:eastAsia="宋体" w:cs="宋体"/>
          <w:color w:val="auto"/>
          <w:szCs w:val="21"/>
          <w:highlight w:val="none"/>
        </w:rPr>
        <w:t>，但必须附中文译文作为解释的依据，以中文译本为准。</w:t>
      </w:r>
    </w:p>
    <w:p w14:paraId="3284338A">
      <w:pPr>
        <w:pStyle w:val="67"/>
        <w:numPr>
          <w:ilvl w:val="0"/>
          <w:numId w:val="12"/>
        </w:numPr>
        <w:tabs>
          <w:tab w:val="left" w:pos="851"/>
        </w:tabs>
        <w:spacing w:line="336"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除工程规范另有规定外，与本工程招标投标有关的招标文件和投标文件使用的度量衡单位，均采用中华人民共和国法定计量单位。</w:t>
      </w:r>
    </w:p>
    <w:p w14:paraId="4D4C6AE1">
      <w:pPr>
        <w:pStyle w:val="67"/>
        <w:numPr>
          <w:ilvl w:val="0"/>
          <w:numId w:val="12"/>
        </w:numPr>
        <w:tabs>
          <w:tab w:val="left" w:pos="851"/>
        </w:tabs>
        <w:spacing w:line="336"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本工程招标投标涉及计价货币的，均以人民币为计价货币。</w:t>
      </w:r>
    </w:p>
    <w:p w14:paraId="12CF7377">
      <w:pPr>
        <w:pStyle w:val="29"/>
        <w:numPr>
          <w:ilvl w:val="0"/>
          <w:numId w:val="0"/>
        </w:numPr>
        <w:spacing w:line="336" w:lineRule="auto"/>
        <w:ind w:leftChars="0"/>
        <w:rPr>
          <w:rFonts w:hint="eastAsia" w:ascii="宋体" w:hAnsi="宋体" w:eastAsia="宋体" w:cs="宋体"/>
          <w:color w:val="auto"/>
          <w:highlight w:val="none"/>
        </w:rPr>
      </w:pPr>
      <w:bookmarkStart w:id="176" w:name="_Toc162410009"/>
      <w:bookmarkStart w:id="177" w:name="_Toc216695533"/>
      <w:bookmarkStart w:id="178" w:name="_Toc481596038"/>
      <w:bookmarkStart w:id="179" w:name="_Toc162409869"/>
      <w:bookmarkStart w:id="180" w:name="_Toc362441719"/>
      <w:r>
        <w:rPr>
          <w:rFonts w:hint="eastAsia" w:ascii="宋体" w:hAnsi="宋体" w:eastAsia="宋体" w:cs="宋体"/>
          <w:color w:val="auto"/>
          <w:highlight w:val="none"/>
          <w:lang w:val="en-US" w:eastAsia="zh-CN"/>
        </w:rPr>
        <w:t>2</w:t>
      </w:r>
      <w:r>
        <w:rPr>
          <w:rFonts w:hint="eastAsia" w:hAnsi="宋体" w:cs="宋体"/>
          <w:color w:val="auto"/>
          <w:highlight w:val="none"/>
          <w:lang w:val="en-US" w:eastAsia="zh-CN"/>
        </w:rPr>
        <w:t>.</w:t>
      </w:r>
      <w:r>
        <w:rPr>
          <w:rFonts w:hint="eastAsia" w:ascii="宋体" w:hAnsi="宋体" w:eastAsia="宋体" w:cs="宋体"/>
          <w:color w:val="auto"/>
          <w:highlight w:val="none"/>
        </w:rPr>
        <w:t>保密</w:t>
      </w:r>
      <w:bookmarkEnd w:id="176"/>
      <w:bookmarkEnd w:id="177"/>
      <w:bookmarkEnd w:id="178"/>
      <w:bookmarkEnd w:id="179"/>
      <w:bookmarkEnd w:id="180"/>
      <w:r>
        <w:rPr>
          <w:rFonts w:hint="eastAsia" w:ascii="宋体" w:hAnsi="宋体" w:eastAsia="宋体" w:cs="宋体"/>
          <w:color w:val="auto"/>
          <w:highlight w:val="none"/>
        </w:rPr>
        <w:t>和知识产权</w:t>
      </w:r>
    </w:p>
    <w:p w14:paraId="0FC4CEA9">
      <w:pPr>
        <w:pStyle w:val="67"/>
        <w:numPr>
          <w:ilvl w:val="0"/>
          <w:numId w:val="13"/>
        </w:numPr>
        <w:tabs>
          <w:tab w:val="left" w:pos="851"/>
        </w:tabs>
        <w:spacing w:line="336"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投标人应当对招标人在招标文件中涉及的商业和技术等秘密保密。</w:t>
      </w:r>
    </w:p>
    <w:p w14:paraId="5B4AA6AD">
      <w:pPr>
        <w:pStyle w:val="67"/>
        <w:numPr>
          <w:ilvl w:val="0"/>
          <w:numId w:val="13"/>
        </w:numPr>
        <w:tabs>
          <w:tab w:val="left" w:pos="851"/>
        </w:tabs>
        <w:spacing w:line="336"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凡属于审查、澄清、评价和比较投标文件以及与确定中标人有关的资料信息，所有参加评标的人员都不应向投标人或与该过程无关的其他人员泄露。</w:t>
      </w:r>
    </w:p>
    <w:p w14:paraId="36EFE10E">
      <w:pPr>
        <w:pStyle w:val="67"/>
        <w:numPr>
          <w:ilvl w:val="0"/>
          <w:numId w:val="13"/>
        </w:numPr>
        <w:tabs>
          <w:tab w:val="left" w:pos="851"/>
        </w:tabs>
        <w:spacing w:line="336"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投标文件的审查、澄清、评价和比较以及定标过程中，除非根据评标小组的要求，投标人不得主动与招标人和评标委员会的任何成员接触，不得有任何游说、贿赂等影响评标小组成员公正和客观地进行评标的行为。投标人对招标人或评标小组任何成员施加影响的任何企图和行为，都将导致其投标文件被废止、强制退出投标和取消中标资格。</w:t>
      </w:r>
    </w:p>
    <w:p w14:paraId="62122430">
      <w:pPr>
        <w:pStyle w:val="67"/>
        <w:numPr>
          <w:ilvl w:val="0"/>
          <w:numId w:val="13"/>
        </w:numPr>
        <w:tabs>
          <w:tab w:val="left" w:pos="851"/>
        </w:tabs>
        <w:spacing w:line="336"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构成本招标文件各个组成部分的文件都是有关各方的智力劳动成果，未经招标人书面许可，投标人不得擅自复印和用于非本招标工程所需的其他目的。</w:t>
      </w:r>
    </w:p>
    <w:p w14:paraId="54B22B60">
      <w:pPr>
        <w:pStyle w:val="29"/>
        <w:numPr>
          <w:ilvl w:val="0"/>
          <w:numId w:val="0"/>
        </w:numPr>
        <w:spacing w:line="336" w:lineRule="auto"/>
        <w:ind w:leftChars="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w:t>
      </w:r>
      <w:r>
        <w:rPr>
          <w:rFonts w:hint="eastAsia" w:hAnsi="宋体" w:cs="宋体"/>
          <w:color w:val="auto"/>
          <w:highlight w:val="none"/>
          <w:lang w:val="en-US" w:eastAsia="zh-CN"/>
        </w:rPr>
        <w:t>.</w:t>
      </w:r>
      <w:r>
        <w:rPr>
          <w:rFonts w:hint="eastAsia" w:ascii="宋体" w:hAnsi="宋体" w:eastAsia="宋体" w:cs="宋体"/>
          <w:color w:val="auto"/>
          <w:highlight w:val="none"/>
        </w:rPr>
        <w:t>接受和拒绝接受投标的</w:t>
      </w:r>
      <w:r>
        <w:rPr>
          <w:rFonts w:hint="eastAsia" w:hAnsi="宋体" w:cs="宋体"/>
          <w:color w:val="auto"/>
          <w:highlight w:val="none"/>
          <w:lang w:eastAsia="zh-CN"/>
        </w:rPr>
        <w:t>权利</w:t>
      </w:r>
    </w:p>
    <w:p w14:paraId="504BE73F">
      <w:pPr>
        <w:keepNext w:val="0"/>
        <w:keepLines w:val="0"/>
        <w:pageBreakBefore w:val="0"/>
        <w:widowControl w:val="0"/>
        <w:kinsoku/>
        <w:wordWrap/>
        <w:overflowPunct/>
        <w:topLinePunct w:val="0"/>
        <w:autoSpaceDE/>
        <w:autoSpaceDN/>
        <w:bidi w:val="0"/>
        <w:adjustRightInd w:val="0"/>
        <w:snapToGrid/>
        <w:spacing w:line="360" w:lineRule="auto"/>
        <w:ind w:left="0" w:leftChars="0" w:firstLine="420" w:firstLineChars="200"/>
        <w:textAlignment w:val="baseline"/>
        <w:rPr>
          <w:rFonts w:hint="eastAsia" w:ascii="宋体" w:hAnsi="宋体" w:eastAsia="宋体" w:cs="宋体"/>
          <w:color w:val="auto"/>
          <w:highlight w:val="none"/>
        </w:rPr>
      </w:pPr>
      <w:r>
        <w:rPr>
          <w:rFonts w:hint="eastAsia" w:ascii="宋体" w:hAnsi="宋体" w:eastAsia="宋体" w:cs="宋体"/>
          <w:color w:val="auto"/>
          <w:sz w:val="21"/>
          <w:szCs w:val="21"/>
          <w:highlight w:val="none"/>
        </w:rPr>
        <w:t>在招标人确认接受投标之前的任何时候，招标人有权接受或拒绝任何投标，宣布投标无效或拒绝所有投标，并对由此而引起的投标人的影响不承担责任，也不解释原因，有权拒绝报价最低、评分最高或</w:t>
      </w:r>
      <w:r>
        <w:rPr>
          <w:rFonts w:hint="eastAsia" w:hAnsi="宋体" w:cs="宋体"/>
          <w:color w:val="auto"/>
          <w:sz w:val="21"/>
          <w:szCs w:val="21"/>
          <w:highlight w:val="none"/>
          <w:lang w:eastAsia="zh-CN"/>
        </w:rPr>
        <w:t>其他</w:t>
      </w:r>
      <w:r>
        <w:rPr>
          <w:rFonts w:hint="eastAsia" w:ascii="宋体" w:hAnsi="宋体" w:eastAsia="宋体" w:cs="宋体"/>
          <w:color w:val="auto"/>
          <w:sz w:val="21"/>
          <w:szCs w:val="21"/>
          <w:highlight w:val="none"/>
        </w:rPr>
        <w:t>任何报价的投标文件。</w:t>
      </w:r>
    </w:p>
    <w:p w14:paraId="2707F865">
      <w:pPr>
        <w:pStyle w:val="29"/>
        <w:numPr>
          <w:ilvl w:val="0"/>
          <w:numId w:val="0"/>
        </w:numPr>
        <w:spacing w:line="336" w:lineRule="auto"/>
        <w:ind w:leftChars="0"/>
        <w:rPr>
          <w:rFonts w:hint="eastAsia" w:ascii="宋体" w:hAnsi="宋体" w:eastAsia="宋体" w:cs="宋体"/>
          <w:color w:val="auto"/>
          <w:highlight w:val="none"/>
        </w:rPr>
      </w:pPr>
      <w:bookmarkStart w:id="181" w:name="_Toc362441721"/>
      <w:bookmarkStart w:id="182" w:name="_Toc481596039"/>
      <w:r>
        <w:rPr>
          <w:rFonts w:hint="eastAsia" w:ascii="宋体" w:hAnsi="宋体" w:eastAsia="宋体" w:cs="宋体"/>
          <w:color w:val="auto"/>
          <w:highlight w:val="none"/>
          <w:lang w:val="en-US" w:eastAsia="zh-CN"/>
        </w:rPr>
        <w:t>4</w:t>
      </w:r>
      <w:r>
        <w:rPr>
          <w:rFonts w:hint="eastAsia" w:hAnsi="宋体" w:cs="宋体"/>
          <w:color w:val="auto"/>
          <w:highlight w:val="none"/>
          <w:lang w:val="en-US" w:eastAsia="zh-CN"/>
        </w:rPr>
        <w:t>.</w:t>
      </w:r>
      <w:r>
        <w:rPr>
          <w:rFonts w:hint="eastAsia" w:ascii="宋体" w:hAnsi="宋体" w:eastAsia="宋体" w:cs="宋体"/>
          <w:color w:val="auto"/>
          <w:highlight w:val="none"/>
        </w:rPr>
        <w:t>其他说明</w:t>
      </w:r>
      <w:bookmarkEnd w:id="181"/>
      <w:bookmarkEnd w:id="182"/>
    </w:p>
    <w:p w14:paraId="6B41EE70">
      <w:pPr>
        <w:numPr>
          <w:ilvl w:val="1"/>
          <w:numId w:val="14"/>
        </w:numPr>
        <w:tabs>
          <w:tab w:val="left" w:pos="851"/>
        </w:tabs>
        <w:spacing w:line="336"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招标单位保留修改合同条件的权利。</w:t>
      </w:r>
    </w:p>
    <w:p w14:paraId="4E2DEACA">
      <w:pPr>
        <w:numPr>
          <w:ilvl w:val="1"/>
          <w:numId w:val="14"/>
        </w:numPr>
        <w:tabs>
          <w:tab w:val="left" w:pos="851"/>
        </w:tabs>
        <w:spacing w:line="336"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如对本招标文件及合同如有异议，应在投标前提出，如未提出，则视为认可。本招标文件的各项条款是后续合同的重要组成部分，包括招标文件在内的往来函件、图纸及清单等均是组成合同的一部分，若合同文件之间有任何矛盾，以较后时间制订的为准。投标人一旦中标，不得提出与招标文件（包括招标时的合同文件）相抵触的任何要求。</w:t>
      </w:r>
    </w:p>
    <w:p w14:paraId="06B8315F">
      <w:pPr>
        <w:widowControl/>
        <w:adjustRightInd/>
        <w:spacing w:line="20" w:lineRule="exact"/>
        <w:ind w:hanging="84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1CD09B88">
      <w:pPr>
        <w:pStyle w:val="2"/>
        <w:spacing w:before="360" w:beforeLines="150" w:after="360" w:afterLines="150" w:line="360" w:lineRule="auto"/>
        <w:jc w:val="center"/>
        <w:rPr>
          <w:rFonts w:hint="eastAsia" w:ascii="宋体" w:hAnsi="宋体" w:eastAsia="宋体" w:cs="宋体"/>
          <w:color w:val="auto"/>
          <w:sz w:val="32"/>
          <w:szCs w:val="32"/>
          <w:highlight w:val="none"/>
        </w:rPr>
      </w:pPr>
      <w:bookmarkStart w:id="183" w:name="_Toc216695510"/>
      <w:bookmarkStart w:id="184" w:name="_Toc481596040"/>
      <w:bookmarkStart w:id="185" w:name="_Toc362441722"/>
      <w:bookmarkStart w:id="186" w:name="_Toc486604846"/>
      <w:r>
        <w:rPr>
          <w:rFonts w:hint="eastAsia" w:ascii="宋体" w:hAnsi="宋体" w:eastAsia="宋体" w:cs="宋体"/>
          <w:color w:val="auto"/>
          <w:sz w:val="32"/>
          <w:szCs w:val="32"/>
          <w:highlight w:val="none"/>
        </w:rPr>
        <w:t>第</w:t>
      </w:r>
      <w:r>
        <w:rPr>
          <w:rFonts w:hint="eastAsia" w:ascii="宋体" w:hAnsi="宋体" w:eastAsia="宋体" w:cs="宋体"/>
          <w:color w:val="auto"/>
          <w:sz w:val="32"/>
          <w:szCs w:val="32"/>
          <w:highlight w:val="none"/>
          <w:lang w:val="en-US" w:eastAsia="zh-CN"/>
        </w:rPr>
        <w:t>六</w:t>
      </w:r>
      <w:r>
        <w:rPr>
          <w:rFonts w:hint="eastAsia" w:ascii="宋体" w:hAnsi="宋体" w:eastAsia="宋体" w:cs="宋体"/>
          <w:color w:val="auto"/>
          <w:sz w:val="32"/>
          <w:szCs w:val="32"/>
          <w:highlight w:val="none"/>
        </w:rPr>
        <w:t>部分</w:t>
      </w:r>
      <w:bookmarkEnd w:id="183"/>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招标文件</w:t>
      </w:r>
      <w:bookmarkEnd w:id="184"/>
      <w:bookmarkEnd w:id="185"/>
      <w:r>
        <w:rPr>
          <w:rFonts w:hint="eastAsia" w:ascii="宋体" w:hAnsi="宋体" w:eastAsia="宋体" w:cs="宋体"/>
          <w:color w:val="auto"/>
          <w:sz w:val="32"/>
          <w:szCs w:val="32"/>
          <w:highlight w:val="none"/>
        </w:rPr>
        <w:t>附件</w:t>
      </w:r>
      <w:bookmarkEnd w:id="186"/>
    </w:p>
    <w:p w14:paraId="3A91BAA2">
      <w:pPr>
        <w:pStyle w:val="67"/>
        <w:numPr>
          <w:ilvl w:val="0"/>
          <w:numId w:val="15"/>
        </w:numPr>
        <w:spacing w:line="360" w:lineRule="auto"/>
        <w:ind w:left="420" w:leftChars="0"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《技术要求》</w:t>
      </w:r>
    </w:p>
    <w:p w14:paraId="785ED7EF">
      <w:pPr>
        <w:pStyle w:val="67"/>
        <w:numPr>
          <w:ilvl w:val="0"/>
          <w:numId w:val="15"/>
        </w:numPr>
        <w:spacing w:line="360" w:lineRule="auto"/>
        <w:ind w:left="420" w:leftChars="0"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《商务</w:t>
      </w:r>
      <w:r>
        <w:rPr>
          <w:rFonts w:hint="eastAsia" w:ascii="宋体" w:hAnsi="宋体" w:cs="宋体"/>
          <w:color w:val="auto"/>
          <w:szCs w:val="21"/>
          <w:highlight w:val="none"/>
          <w:lang w:val="en-US" w:eastAsia="zh-CN"/>
        </w:rPr>
        <w:t>、技术</w:t>
      </w:r>
      <w:r>
        <w:rPr>
          <w:rFonts w:hint="eastAsia" w:ascii="宋体" w:hAnsi="宋体" w:eastAsia="宋体" w:cs="宋体"/>
          <w:color w:val="auto"/>
          <w:szCs w:val="21"/>
          <w:highlight w:val="none"/>
          <w:lang w:val="en-US" w:eastAsia="zh-CN"/>
        </w:rPr>
        <w:t>偏离表》</w:t>
      </w:r>
    </w:p>
    <w:p w14:paraId="26D43ACF">
      <w:pPr>
        <w:pStyle w:val="67"/>
        <w:numPr>
          <w:ilvl w:val="0"/>
          <w:numId w:val="15"/>
        </w:numPr>
        <w:spacing w:line="360" w:lineRule="auto"/>
        <w:ind w:left="420" w:leftChars="0"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《投标文件格式》</w:t>
      </w:r>
    </w:p>
    <w:p w14:paraId="28986D68">
      <w:pPr>
        <w:pStyle w:val="67"/>
        <w:numPr>
          <w:ilvl w:val="0"/>
          <w:numId w:val="15"/>
        </w:numPr>
        <w:spacing w:line="360" w:lineRule="auto"/>
        <w:ind w:left="420" w:leftChars="0"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亚创研究院实验室家具采购及安装项目需求清单</w:t>
      </w:r>
      <w:r>
        <w:rPr>
          <w:rFonts w:hint="eastAsia" w:ascii="宋体" w:hAnsi="宋体" w:eastAsia="宋体" w:cs="宋体"/>
          <w:color w:val="auto"/>
          <w:szCs w:val="21"/>
          <w:highlight w:val="none"/>
          <w:lang w:val="en-US" w:eastAsia="zh-CN"/>
        </w:rPr>
        <w:t>》</w:t>
      </w:r>
    </w:p>
    <w:p w14:paraId="1795BDB8">
      <w:pPr>
        <w:pStyle w:val="67"/>
        <w:numPr>
          <w:ilvl w:val="0"/>
          <w:numId w:val="15"/>
        </w:numPr>
        <w:spacing w:line="360" w:lineRule="auto"/>
        <w:ind w:left="420" w:leftChars="0" w:firstLine="0" w:firstLineChars="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《场地平面布置图》</w:t>
      </w:r>
    </w:p>
    <w:p w14:paraId="2F0FB010">
      <w:pPr>
        <w:pStyle w:val="67"/>
        <w:numPr>
          <w:ilvl w:val="0"/>
          <w:numId w:val="15"/>
        </w:numPr>
        <w:spacing w:line="360" w:lineRule="auto"/>
        <w:ind w:left="420" w:leftChars="0" w:firstLine="0" w:firstLineChars="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《（单项）评标标准及数据统计表》</w:t>
      </w:r>
    </w:p>
    <w:p w14:paraId="4FD7BADD">
      <w:pPr>
        <w:spacing w:line="360" w:lineRule="auto"/>
        <w:jc w:val="center"/>
        <w:rPr>
          <w:rFonts w:hint="eastAsia" w:ascii="宋体" w:hAnsi="宋体" w:eastAsia="宋体" w:cs="宋体"/>
          <w:b/>
          <w:color w:val="auto"/>
          <w:sz w:val="21"/>
          <w:szCs w:val="21"/>
          <w:highlight w:val="none"/>
        </w:rPr>
      </w:pPr>
    </w:p>
    <w:p w14:paraId="5CCEB076">
      <w:pPr>
        <w:spacing w:line="360" w:lineRule="auto"/>
        <w:jc w:val="center"/>
        <w:rPr>
          <w:rFonts w:hint="eastAsia" w:ascii="宋体" w:hAnsi="宋体" w:eastAsia="宋体" w:cs="宋体"/>
          <w:b/>
          <w:color w:val="auto"/>
          <w:sz w:val="21"/>
          <w:szCs w:val="21"/>
          <w:highlight w:val="none"/>
        </w:rPr>
      </w:pPr>
    </w:p>
    <w:p w14:paraId="00547FFA">
      <w:pPr>
        <w:spacing w:line="360" w:lineRule="auto"/>
        <w:jc w:val="center"/>
        <w:rPr>
          <w:rFonts w:hint="eastAsia" w:ascii="宋体" w:hAnsi="宋体" w:eastAsia="宋体" w:cs="宋体"/>
          <w:b/>
          <w:color w:val="auto"/>
          <w:sz w:val="21"/>
          <w:szCs w:val="21"/>
          <w:highlight w:val="none"/>
        </w:rPr>
      </w:pPr>
    </w:p>
    <w:p w14:paraId="44BE5CE2">
      <w:pPr>
        <w:spacing w:line="360" w:lineRule="auto"/>
        <w:jc w:val="center"/>
        <w:rPr>
          <w:rFonts w:hint="eastAsia" w:ascii="宋体" w:hAnsi="宋体" w:eastAsia="宋体" w:cs="宋体"/>
          <w:b/>
          <w:color w:val="auto"/>
          <w:sz w:val="21"/>
          <w:szCs w:val="21"/>
          <w:highlight w:val="none"/>
        </w:rPr>
      </w:pPr>
    </w:p>
    <w:p w14:paraId="5D65445E">
      <w:pPr>
        <w:spacing w:line="360" w:lineRule="auto"/>
        <w:jc w:val="center"/>
        <w:rPr>
          <w:rFonts w:hint="eastAsia" w:ascii="宋体" w:hAnsi="宋体" w:eastAsia="宋体" w:cs="宋体"/>
          <w:b/>
          <w:color w:val="auto"/>
          <w:sz w:val="21"/>
          <w:szCs w:val="21"/>
          <w:highlight w:val="none"/>
        </w:rPr>
      </w:pPr>
    </w:p>
    <w:p w14:paraId="63A9EBDA">
      <w:pPr>
        <w:spacing w:line="360" w:lineRule="auto"/>
        <w:jc w:val="center"/>
        <w:rPr>
          <w:rFonts w:hint="eastAsia" w:ascii="宋体" w:hAnsi="宋体" w:eastAsia="宋体" w:cs="宋体"/>
          <w:b/>
          <w:color w:val="auto"/>
          <w:sz w:val="21"/>
          <w:szCs w:val="21"/>
          <w:highlight w:val="none"/>
        </w:rPr>
      </w:pPr>
    </w:p>
    <w:p w14:paraId="5E90FA52">
      <w:pPr>
        <w:spacing w:line="360" w:lineRule="auto"/>
        <w:jc w:val="center"/>
        <w:rPr>
          <w:rFonts w:hint="eastAsia" w:ascii="宋体" w:hAnsi="宋体" w:eastAsia="宋体" w:cs="宋体"/>
          <w:b/>
          <w:color w:val="auto"/>
          <w:sz w:val="21"/>
          <w:szCs w:val="21"/>
          <w:highlight w:val="none"/>
        </w:rPr>
      </w:pPr>
    </w:p>
    <w:p w14:paraId="5BBF51FE">
      <w:pPr>
        <w:spacing w:line="360" w:lineRule="auto"/>
        <w:jc w:val="center"/>
        <w:rPr>
          <w:rFonts w:hint="eastAsia" w:ascii="宋体" w:hAnsi="宋体" w:eastAsia="宋体" w:cs="宋体"/>
          <w:b/>
          <w:color w:val="auto"/>
          <w:sz w:val="21"/>
          <w:szCs w:val="21"/>
          <w:highlight w:val="none"/>
        </w:rPr>
      </w:pPr>
    </w:p>
    <w:p w14:paraId="40C57ADF">
      <w:pPr>
        <w:spacing w:line="360" w:lineRule="auto"/>
        <w:jc w:val="center"/>
        <w:rPr>
          <w:rFonts w:hint="eastAsia" w:ascii="宋体" w:hAnsi="宋体" w:eastAsia="宋体" w:cs="宋体"/>
          <w:b/>
          <w:color w:val="auto"/>
          <w:sz w:val="21"/>
          <w:szCs w:val="21"/>
          <w:highlight w:val="none"/>
        </w:rPr>
      </w:pPr>
    </w:p>
    <w:p w14:paraId="0C26650D">
      <w:pPr>
        <w:spacing w:line="360" w:lineRule="auto"/>
        <w:jc w:val="center"/>
        <w:rPr>
          <w:rFonts w:hint="eastAsia" w:ascii="宋体" w:hAnsi="宋体" w:eastAsia="宋体" w:cs="宋体"/>
          <w:b/>
          <w:color w:val="auto"/>
          <w:sz w:val="21"/>
          <w:szCs w:val="21"/>
          <w:highlight w:val="none"/>
        </w:rPr>
      </w:pPr>
    </w:p>
    <w:p w14:paraId="788DC459">
      <w:pPr>
        <w:spacing w:line="360" w:lineRule="auto"/>
        <w:jc w:val="center"/>
        <w:rPr>
          <w:rFonts w:hint="eastAsia" w:ascii="宋体" w:hAnsi="宋体" w:eastAsia="宋体" w:cs="宋体"/>
          <w:b/>
          <w:color w:val="auto"/>
          <w:sz w:val="21"/>
          <w:szCs w:val="21"/>
          <w:highlight w:val="none"/>
        </w:rPr>
      </w:pPr>
    </w:p>
    <w:p w14:paraId="3F998C95">
      <w:pPr>
        <w:spacing w:line="360" w:lineRule="auto"/>
        <w:jc w:val="center"/>
        <w:rPr>
          <w:rFonts w:hint="eastAsia" w:ascii="宋体" w:hAnsi="宋体" w:eastAsia="宋体" w:cs="宋体"/>
          <w:b/>
          <w:color w:val="auto"/>
          <w:sz w:val="21"/>
          <w:szCs w:val="21"/>
          <w:highlight w:val="none"/>
        </w:rPr>
      </w:pPr>
    </w:p>
    <w:p w14:paraId="7E800051">
      <w:pPr>
        <w:spacing w:line="360" w:lineRule="auto"/>
        <w:jc w:val="center"/>
        <w:rPr>
          <w:rFonts w:hint="eastAsia" w:ascii="宋体" w:hAnsi="宋体" w:eastAsia="宋体" w:cs="宋体"/>
          <w:b/>
          <w:color w:val="auto"/>
          <w:sz w:val="21"/>
          <w:szCs w:val="21"/>
          <w:highlight w:val="none"/>
        </w:rPr>
      </w:pPr>
    </w:p>
    <w:p w14:paraId="1A9D8454">
      <w:pPr>
        <w:spacing w:line="360" w:lineRule="auto"/>
        <w:jc w:val="center"/>
        <w:rPr>
          <w:rFonts w:hint="eastAsia" w:ascii="宋体" w:hAnsi="宋体" w:eastAsia="宋体" w:cs="宋体"/>
          <w:b/>
          <w:color w:val="auto"/>
          <w:sz w:val="21"/>
          <w:szCs w:val="21"/>
          <w:highlight w:val="none"/>
        </w:rPr>
      </w:pPr>
    </w:p>
    <w:p w14:paraId="682CFD2C">
      <w:pPr>
        <w:spacing w:line="360" w:lineRule="auto"/>
        <w:jc w:val="center"/>
        <w:rPr>
          <w:rFonts w:hint="eastAsia" w:ascii="宋体" w:hAnsi="宋体" w:eastAsia="宋体" w:cs="宋体"/>
          <w:b/>
          <w:color w:val="auto"/>
          <w:sz w:val="21"/>
          <w:szCs w:val="21"/>
          <w:highlight w:val="none"/>
        </w:rPr>
      </w:pPr>
    </w:p>
    <w:bookmarkEnd w:id="81"/>
    <w:bookmarkEnd w:id="82"/>
    <w:p w14:paraId="0EDA567A">
      <w:pPr>
        <w:spacing w:line="360" w:lineRule="auto"/>
        <w:jc w:val="both"/>
        <w:rPr>
          <w:rFonts w:hint="eastAsia" w:ascii="宋体" w:hAnsi="宋体" w:eastAsia="宋体" w:cs="宋体"/>
          <w:b/>
          <w:color w:val="auto"/>
          <w:spacing w:val="8"/>
          <w:sz w:val="28"/>
          <w:szCs w:val="28"/>
          <w:highlight w:val="none"/>
        </w:rPr>
      </w:pPr>
    </w:p>
    <w:sectPr>
      <w:headerReference r:id="rId5" w:type="default"/>
      <w:footerReference r:id="rId6" w:type="default"/>
      <w:pgSz w:w="11906" w:h="16838"/>
      <w:pgMar w:top="1418" w:right="1191" w:bottom="1134" w:left="1418" w:header="567" w:footer="567" w:gutter="0"/>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48493968"/>
    </w:sdtPr>
    <w:sdtContent>
      <w:p w14:paraId="5195B864">
        <w:pPr>
          <w:pStyle w:val="27"/>
          <w:jc w:val="center"/>
        </w:pPr>
        <w:r>
          <w:fldChar w:fldCharType="begin"/>
        </w:r>
        <w:r>
          <w:instrText xml:space="preserve">PAGE   \* MERGEFORMAT</w:instrText>
        </w:r>
        <w:r>
          <w:fldChar w:fldCharType="separate"/>
        </w:r>
        <w:r>
          <w:rPr>
            <w:lang w:val="zh-CN"/>
          </w:rPr>
          <w:t>47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0D9D8">
    <w:pPr>
      <w:pStyle w:val="28"/>
      <w:jc w:val="right"/>
      <w:rPr>
        <w:szCs w:val="18"/>
      </w:rPr>
    </w:pPr>
    <w:r>
      <w:rPr>
        <w:rFonts w:hint="eastAsia"/>
        <w:szCs w:val="18"/>
      </w:rPr>
      <w:t xml:space="preserve"> </w:t>
    </w:r>
    <w:r>
      <w:rPr>
        <w:szCs w:val="18"/>
      </w:rPr>
      <w:t xml:space="preserve">                  </w:t>
    </w:r>
    <w:r>
      <w:rPr>
        <w:rFonts w:hint="eastAsia"/>
        <w:szCs w:val="18"/>
        <w:lang w:val="en-US" w:eastAsia="zh-CN"/>
      </w:rPr>
      <w:t xml:space="preserve">         </w:t>
    </w:r>
    <w:r>
      <w:rPr>
        <w:szCs w:val="18"/>
      </w:rPr>
      <w:t xml:space="preserve">   </w:t>
    </w:r>
    <w:r>
      <w:rPr>
        <w:rFonts w:hint="eastAsia"/>
        <w:szCs w:val="18"/>
        <w:lang w:val="en-US" w:eastAsia="zh-CN"/>
      </w:rPr>
      <w:t>亚创研究院实验室家具采购及安装工程</w:t>
    </w:r>
    <w:r>
      <w:rPr>
        <w:rFonts w:hint="eastAsia"/>
        <w:szCs w:val="18"/>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CF5B07"/>
    <w:multiLevelType w:val="multilevel"/>
    <w:tmpl w:val="9DCF5B07"/>
    <w:lvl w:ilvl="0" w:tentative="0">
      <w:start w:val="9"/>
      <w:numFmt w:val="decimal"/>
      <w:lvlText w:val="%1"/>
      <w:lvlJc w:val="left"/>
      <w:pPr>
        <w:ind w:left="360" w:hanging="360"/>
      </w:pPr>
      <w:rPr>
        <w:rFonts w:hint="default"/>
      </w:rPr>
    </w:lvl>
    <w:lvl w:ilvl="1" w:tentative="0">
      <w:start w:val="1"/>
      <w:numFmt w:val="decimal"/>
      <w:lvlText w:val="3.%2"/>
      <w:lvlJc w:val="left"/>
      <w:pPr>
        <w:ind w:left="0" w:leftChars="0" w:firstLine="40" w:firstLineChars="0"/>
      </w:pPr>
      <w:rPr>
        <w:rFonts w:hint="default"/>
      </w:rPr>
    </w:lvl>
    <w:lvl w:ilvl="2" w:tentative="0">
      <w:start w:val="1"/>
      <w:numFmt w:val="decimal"/>
      <w:lvlText w:val="%1.%2.%3"/>
      <w:lvlJc w:val="left"/>
      <w:pPr>
        <w:ind w:left="1560" w:hanging="720"/>
      </w:pPr>
      <w:rPr>
        <w:rFonts w:hint="default"/>
      </w:rPr>
    </w:lvl>
    <w:lvl w:ilvl="3" w:tentative="0">
      <w:start w:val="1"/>
      <w:numFmt w:val="decimal"/>
      <w:lvlText w:val="%1.%2.%3.%4"/>
      <w:lvlJc w:val="left"/>
      <w:pPr>
        <w:ind w:left="2340" w:hanging="1080"/>
      </w:pPr>
      <w:rPr>
        <w:rFonts w:hint="default"/>
      </w:rPr>
    </w:lvl>
    <w:lvl w:ilvl="4" w:tentative="0">
      <w:start w:val="1"/>
      <w:numFmt w:val="decimal"/>
      <w:lvlText w:val="%1.%2.%3.%4.%5"/>
      <w:lvlJc w:val="left"/>
      <w:pPr>
        <w:ind w:left="2760" w:hanging="1080"/>
      </w:pPr>
      <w:rPr>
        <w:rFonts w:hint="default"/>
      </w:rPr>
    </w:lvl>
    <w:lvl w:ilvl="5" w:tentative="0">
      <w:start w:val="1"/>
      <w:numFmt w:val="decimal"/>
      <w:lvlText w:val="%1.%2.%3.%4.%5.%6"/>
      <w:lvlJc w:val="left"/>
      <w:pPr>
        <w:ind w:left="3540" w:hanging="1440"/>
      </w:pPr>
      <w:rPr>
        <w:rFonts w:hint="default"/>
      </w:rPr>
    </w:lvl>
    <w:lvl w:ilvl="6" w:tentative="0">
      <w:start w:val="1"/>
      <w:numFmt w:val="decimal"/>
      <w:lvlText w:val="%1.%2.%3.%4.%5.%6.%7"/>
      <w:lvlJc w:val="left"/>
      <w:pPr>
        <w:ind w:left="3960" w:hanging="1440"/>
      </w:pPr>
      <w:rPr>
        <w:rFonts w:hint="default"/>
      </w:rPr>
    </w:lvl>
    <w:lvl w:ilvl="7" w:tentative="0">
      <w:start w:val="1"/>
      <w:numFmt w:val="decimal"/>
      <w:lvlText w:val="%1.%2.%3.%4.%5.%6.%7.%8"/>
      <w:lvlJc w:val="left"/>
      <w:pPr>
        <w:ind w:left="4740" w:hanging="1800"/>
      </w:pPr>
      <w:rPr>
        <w:rFonts w:hint="default"/>
      </w:rPr>
    </w:lvl>
    <w:lvl w:ilvl="8" w:tentative="0">
      <w:start w:val="1"/>
      <w:numFmt w:val="decimal"/>
      <w:lvlText w:val="%1.%2.%3.%4.%5.%6.%7.%8.%9"/>
      <w:lvlJc w:val="left"/>
      <w:pPr>
        <w:ind w:left="5160" w:hanging="1800"/>
      </w:pPr>
      <w:rPr>
        <w:rFonts w:hint="default"/>
      </w:rPr>
    </w:lvl>
  </w:abstractNum>
  <w:abstractNum w:abstractNumId="1">
    <w:nsid w:val="9E057504"/>
    <w:multiLevelType w:val="multilevel"/>
    <w:tmpl w:val="9E057504"/>
    <w:lvl w:ilvl="0" w:tentative="0">
      <w:start w:val="19"/>
      <w:numFmt w:val="decimal"/>
      <w:lvlText w:val="%1"/>
      <w:lvlJc w:val="left"/>
      <w:pPr>
        <w:ind w:left="420" w:hanging="420"/>
      </w:pPr>
      <w:rPr>
        <w:rFonts w:hint="default"/>
      </w:rPr>
    </w:lvl>
    <w:lvl w:ilvl="1" w:tentative="0">
      <w:start w:val="1"/>
      <w:numFmt w:val="decimal"/>
      <w:lvlText w:val="4.%2"/>
      <w:lvlJc w:val="left"/>
      <w:pPr>
        <w:ind w:left="0" w:leftChars="0" w:firstLine="40" w:firstLineChars="0"/>
      </w:pPr>
      <w:rPr>
        <w:rFonts w:hint="default"/>
      </w:rPr>
    </w:lvl>
    <w:lvl w:ilvl="2" w:tentative="0">
      <w:start w:val="1"/>
      <w:numFmt w:val="decimal"/>
      <w:lvlText w:val="%1.%2.%3"/>
      <w:lvlJc w:val="left"/>
      <w:pPr>
        <w:ind w:left="1560" w:hanging="720"/>
      </w:pPr>
      <w:rPr>
        <w:rFonts w:hint="default"/>
      </w:rPr>
    </w:lvl>
    <w:lvl w:ilvl="3" w:tentative="0">
      <w:start w:val="1"/>
      <w:numFmt w:val="decimal"/>
      <w:lvlText w:val="%1.%2.%3.%4"/>
      <w:lvlJc w:val="left"/>
      <w:pPr>
        <w:ind w:left="2340" w:hanging="1080"/>
      </w:pPr>
      <w:rPr>
        <w:rFonts w:hint="default"/>
      </w:rPr>
    </w:lvl>
    <w:lvl w:ilvl="4" w:tentative="0">
      <w:start w:val="1"/>
      <w:numFmt w:val="decimal"/>
      <w:lvlText w:val="%1.%2.%3.%4.%5"/>
      <w:lvlJc w:val="left"/>
      <w:pPr>
        <w:ind w:left="2760" w:hanging="1080"/>
      </w:pPr>
      <w:rPr>
        <w:rFonts w:hint="default"/>
      </w:rPr>
    </w:lvl>
    <w:lvl w:ilvl="5" w:tentative="0">
      <w:start w:val="1"/>
      <w:numFmt w:val="decimal"/>
      <w:lvlText w:val="%1.%2.%3.%4.%5.%6"/>
      <w:lvlJc w:val="left"/>
      <w:pPr>
        <w:ind w:left="3540" w:hanging="1440"/>
      </w:pPr>
      <w:rPr>
        <w:rFonts w:hint="default"/>
      </w:rPr>
    </w:lvl>
    <w:lvl w:ilvl="6" w:tentative="0">
      <w:start w:val="1"/>
      <w:numFmt w:val="decimal"/>
      <w:lvlText w:val="%1.%2.%3.%4.%5.%6.%7"/>
      <w:lvlJc w:val="left"/>
      <w:pPr>
        <w:ind w:left="3960" w:hanging="1440"/>
      </w:pPr>
      <w:rPr>
        <w:rFonts w:hint="default"/>
      </w:rPr>
    </w:lvl>
    <w:lvl w:ilvl="7" w:tentative="0">
      <w:start w:val="1"/>
      <w:numFmt w:val="decimal"/>
      <w:lvlText w:val="%1.%2.%3.%4.%5.%6.%7.%8"/>
      <w:lvlJc w:val="left"/>
      <w:pPr>
        <w:ind w:left="4740" w:hanging="1800"/>
      </w:pPr>
      <w:rPr>
        <w:rFonts w:hint="default"/>
      </w:rPr>
    </w:lvl>
    <w:lvl w:ilvl="8" w:tentative="0">
      <w:start w:val="1"/>
      <w:numFmt w:val="decimal"/>
      <w:lvlText w:val="%1.%2.%3.%4.%5.%6.%7.%8.%9"/>
      <w:lvlJc w:val="left"/>
      <w:pPr>
        <w:ind w:left="5160" w:hanging="1800"/>
      </w:pPr>
      <w:rPr>
        <w:rFonts w:hint="default"/>
      </w:rPr>
    </w:lvl>
  </w:abstractNum>
  <w:abstractNum w:abstractNumId="2">
    <w:nsid w:val="BF8BC0DF"/>
    <w:multiLevelType w:val="multilevel"/>
    <w:tmpl w:val="BF8BC0DF"/>
    <w:lvl w:ilvl="0" w:tentative="0">
      <w:start w:val="1"/>
      <w:numFmt w:val="decimal"/>
      <w:lvlText w:val="%1."/>
      <w:lvlJc w:val="left"/>
      <w:pPr>
        <w:tabs>
          <w:tab w:val="left" w:pos="937"/>
        </w:tabs>
        <w:ind w:left="-84" w:firstLine="510"/>
      </w:pPr>
      <w:rPr>
        <w:rFonts w:hint="eastAsia"/>
        <w:b w:val="0"/>
        <w:i w:val="0"/>
      </w:rPr>
    </w:lvl>
    <w:lvl w:ilvl="1" w:tentative="0">
      <w:start w:val="1"/>
      <w:numFmt w:val="decimal"/>
      <w:lvlText w:val="2.%2"/>
      <w:lvlJc w:val="left"/>
      <w:pPr>
        <w:ind w:left="0" w:leftChars="0" w:firstLine="40" w:firstLineChars="0"/>
      </w:pPr>
      <w:rPr>
        <w:rFonts w:hint="default"/>
      </w:rPr>
    </w:lvl>
    <w:lvl w:ilvl="2" w:tentative="0">
      <w:start w:val="1"/>
      <w:numFmt w:val="decimal"/>
      <w:isLgl/>
      <w:lvlText w:val="%1.%2.%3"/>
      <w:lvlJc w:val="left"/>
      <w:pPr>
        <w:ind w:left="1146" w:hanging="720"/>
      </w:pPr>
      <w:rPr>
        <w:rFonts w:hint="default"/>
      </w:rPr>
    </w:lvl>
    <w:lvl w:ilvl="3" w:tentative="0">
      <w:start w:val="1"/>
      <w:numFmt w:val="decimal"/>
      <w:isLgl/>
      <w:lvlText w:val="%1.%2.%3.%4"/>
      <w:lvlJc w:val="left"/>
      <w:pPr>
        <w:ind w:left="1506" w:hanging="1080"/>
      </w:pPr>
      <w:rPr>
        <w:rFonts w:hint="default"/>
      </w:rPr>
    </w:lvl>
    <w:lvl w:ilvl="4" w:tentative="0">
      <w:start w:val="1"/>
      <w:numFmt w:val="decimal"/>
      <w:isLgl/>
      <w:lvlText w:val="%1.%2.%3.%4.%5"/>
      <w:lvlJc w:val="left"/>
      <w:pPr>
        <w:ind w:left="1506" w:hanging="1080"/>
      </w:pPr>
      <w:rPr>
        <w:rFonts w:hint="default"/>
      </w:rPr>
    </w:lvl>
    <w:lvl w:ilvl="5" w:tentative="0">
      <w:start w:val="1"/>
      <w:numFmt w:val="decimal"/>
      <w:isLgl/>
      <w:lvlText w:val="%1.%2.%3.%4.%5.%6"/>
      <w:lvlJc w:val="left"/>
      <w:pPr>
        <w:ind w:left="1866" w:hanging="1440"/>
      </w:pPr>
      <w:rPr>
        <w:rFonts w:hint="default"/>
      </w:rPr>
    </w:lvl>
    <w:lvl w:ilvl="6" w:tentative="0">
      <w:start w:val="1"/>
      <w:numFmt w:val="decimal"/>
      <w:isLgl/>
      <w:lvlText w:val="%1.%2.%3.%4.%5.%6.%7"/>
      <w:lvlJc w:val="left"/>
      <w:pPr>
        <w:ind w:left="1866" w:hanging="1440"/>
      </w:pPr>
      <w:rPr>
        <w:rFonts w:hint="default"/>
      </w:rPr>
    </w:lvl>
    <w:lvl w:ilvl="7" w:tentative="0">
      <w:start w:val="1"/>
      <w:numFmt w:val="decimal"/>
      <w:isLgl/>
      <w:lvlText w:val="%1.%2.%3.%4.%5.%6.%7.%8"/>
      <w:lvlJc w:val="left"/>
      <w:pPr>
        <w:ind w:left="2226" w:hanging="1800"/>
      </w:pPr>
      <w:rPr>
        <w:rFonts w:hint="default"/>
      </w:rPr>
    </w:lvl>
    <w:lvl w:ilvl="8" w:tentative="0">
      <w:start w:val="1"/>
      <w:numFmt w:val="decimal"/>
      <w:isLgl/>
      <w:lvlText w:val="%1.%2.%3.%4.%5.%6.%7.%8.%9"/>
      <w:lvlJc w:val="left"/>
      <w:pPr>
        <w:ind w:left="2226" w:hanging="1800"/>
      </w:pPr>
      <w:rPr>
        <w:rFonts w:hint="default"/>
      </w:rPr>
    </w:lvl>
  </w:abstractNum>
  <w:abstractNum w:abstractNumId="3">
    <w:nsid w:val="F50E571D"/>
    <w:multiLevelType w:val="multilevel"/>
    <w:tmpl w:val="F50E571D"/>
    <w:lvl w:ilvl="0" w:tentative="0">
      <w:start w:val="1"/>
      <w:numFmt w:val="decimal"/>
      <w:lvlText w:val="1.%1"/>
      <w:lvlJc w:val="left"/>
      <w:pPr>
        <w:ind w:left="0" w:leftChars="0" w:firstLine="40" w:firstLineChars="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FFFFFFFB"/>
    <w:multiLevelType w:val="multilevel"/>
    <w:tmpl w:val="FFFFFFFB"/>
    <w:lvl w:ilvl="0" w:tentative="0">
      <w:start w:val="1"/>
      <w:numFmt w:val="decimal"/>
      <w:lvlText w:val="%1."/>
      <w:lvlJc w:val="left"/>
      <w:pPr>
        <w:tabs>
          <w:tab w:val="left" w:pos="1088"/>
        </w:tabs>
        <w:ind w:left="1088" w:hanging="1077"/>
      </w:pPr>
      <w:rPr>
        <w:rFonts w:hint="default" w:ascii="Arial" w:hAnsi="Arial" w:eastAsia="宋体"/>
        <w:b/>
        <w:i w:val="0"/>
        <w:sz w:val="24"/>
        <w:szCs w:val="24"/>
      </w:rPr>
    </w:lvl>
    <w:lvl w:ilvl="1" w:tentative="0">
      <w:start w:val="1"/>
      <w:numFmt w:val="decimal"/>
      <w:pStyle w:val="4"/>
      <w:lvlText w:val="%1.%2"/>
      <w:lvlJc w:val="left"/>
      <w:pPr>
        <w:tabs>
          <w:tab w:val="left" w:pos="1088"/>
        </w:tabs>
        <w:ind w:left="1088" w:hanging="1077"/>
      </w:pPr>
      <w:rPr>
        <w:rFonts w:hint="default" w:ascii="Arial" w:hAnsi="Arial" w:eastAsia="宋体" w:cs="Arial"/>
        <w:b/>
        <w:i w:val="0"/>
        <w:sz w:val="24"/>
        <w:szCs w:val="24"/>
      </w:rPr>
    </w:lvl>
    <w:lvl w:ilvl="2" w:tentative="0">
      <w:start w:val="1"/>
      <w:numFmt w:val="decimal"/>
      <w:pStyle w:val="5"/>
      <w:lvlText w:val="%1.%2.%3"/>
      <w:lvlJc w:val="left"/>
      <w:pPr>
        <w:tabs>
          <w:tab w:val="left" w:pos="1088"/>
        </w:tabs>
        <w:ind w:left="1088" w:hanging="1077"/>
      </w:pPr>
      <w:rPr>
        <w:rFonts w:hint="default" w:ascii="Arial" w:hAnsi="Arial" w:eastAsia="宋体" w:cs="Arial"/>
        <w:b w:val="0"/>
        <w:i w:val="0"/>
        <w:sz w:val="21"/>
        <w:szCs w:val="21"/>
      </w:rPr>
    </w:lvl>
    <w:lvl w:ilvl="3" w:tentative="0">
      <w:start w:val="1"/>
      <w:numFmt w:val="decimal"/>
      <w:pStyle w:val="6"/>
      <w:lvlText w:val="%1.%2.%3.%4."/>
      <w:lvlJc w:val="left"/>
      <w:pPr>
        <w:tabs>
          <w:tab w:val="left" w:pos="862"/>
        </w:tabs>
        <w:ind w:left="862" w:hanging="851"/>
      </w:pPr>
      <w:rPr>
        <w:rFonts w:hint="eastAsia"/>
      </w:rPr>
    </w:lvl>
    <w:lvl w:ilvl="4" w:tentative="0">
      <w:start w:val="1"/>
      <w:numFmt w:val="decimal"/>
      <w:lvlText w:val="%1.%2.%3.%4.%5."/>
      <w:lvlJc w:val="left"/>
      <w:pPr>
        <w:tabs>
          <w:tab w:val="left" w:pos="1003"/>
        </w:tabs>
        <w:ind w:left="1003" w:hanging="992"/>
      </w:pPr>
      <w:rPr>
        <w:rFonts w:hint="eastAsia"/>
      </w:rPr>
    </w:lvl>
    <w:lvl w:ilvl="5" w:tentative="0">
      <w:start w:val="1"/>
      <w:numFmt w:val="decimal"/>
      <w:lvlText w:val="%1.%2.%3.%4.%5.%6."/>
      <w:lvlJc w:val="left"/>
      <w:pPr>
        <w:tabs>
          <w:tab w:val="left" w:pos="1145"/>
        </w:tabs>
        <w:ind w:left="1145" w:hanging="1134"/>
      </w:pPr>
      <w:rPr>
        <w:rFonts w:hint="eastAsia"/>
      </w:rPr>
    </w:lvl>
    <w:lvl w:ilvl="6" w:tentative="0">
      <w:start w:val="1"/>
      <w:numFmt w:val="decimal"/>
      <w:lvlText w:val="%1.%2.%3.%4.%5.%6.%7."/>
      <w:lvlJc w:val="left"/>
      <w:pPr>
        <w:tabs>
          <w:tab w:val="left" w:pos="1287"/>
        </w:tabs>
        <w:ind w:left="1287" w:hanging="1276"/>
      </w:pPr>
      <w:rPr>
        <w:rFonts w:hint="eastAsia"/>
      </w:rPr>
    </w:lvl>
    <w:lvl w:ilvl="7" w:tentative="0">
      <w:start w:val="1"/>
      <w:numFmt w:val="decimal"/>
      <w:lvlText w:val="%1.%2.%3.%4.%5.%6.%7.%8."/>
      <w:lvlJc w:val="left"/>
      <w:pPr>
        <w:tabs>
          <w:tab w:val="left" w:pos="1429"/>
        </w:tabs>
        <w:ind w:left="1429" w:hanging="1418"/>
      </w:pPr>
      <w:rPr>
        <w:rFonts w:hint="eastAsia"/>
      </w:rPr>
    </w:lvl>
    <w:lvl w:ilvl="8" w:tentative="0">
      <w:start w:val="1"/>
      <w:numFmt w:val="decimal"/>
      <w:lvlText w:val="%1.%2.%3.%4.%5.%6.%7.%8.%9."/>
      <w:lvlJc w:val="left"/>
      <w:pPr>
        <w:tabs>
          <w:tab w:val="left" w:pos="1570"/>
        </w:tabs>
        <w:ind w:left="1570" w:hanging="1559"/>
      </w:pPr>
      <w:rPr>
        <w:rFonts w:hint="eastAsia"/>
      </w:rPr>
    </w:lvl>
  </w:abstractNum>
  <w:abstractNum w:abstractNumId="5">
    <w:nsid w:val="20674E8A"/>
    <w:multiLevelType w:val="multilevel"/>
    <w:tmpl w:val="20674E8A"/>
    <w:lvl w:ilvl="0" w:tentative="0">
      <w:start w:val="1"/>
      <w:numFmt w:val="decimal"/>
      <w:lvlText w:val="3.%1"/>
      <w:lvlJc w:val="left"/>
      <w:pPr>
        <w:ind w:left="1264" w:hanging="420"/>
      </w:pPr>
      <w:rPr>
        <w:rFonts w:hint="default"/>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EAD3EA1"/>
    <w:multiLevelType w:val="multilevel"/>
    <w:tmpl w:val="3EAD3EA1"/>
    <w:lvl w:ilvl="0" w:tentative="0">
      <w:start w:val="1"/>
      <w:numFmt w:val="decimal"/>
      <w:pStyle w:val="3"/>
      <w:lvlText w:val="%1."/>
      <w:lvlJc w:val="left"/>
      <w:pPr>
        <w:tabs>
          <w:tab w:val="left" w:pos="1077"/>
        </w:tabs>
        <w:ind w:left="1077" w:hanging="1077"/>
      </w:pPr>
      <w:rPr>
        <w:rFonts w:hint="eastAsia" w:ascii="仿宋_GB2312" w:hAnsi="Arial" w:eastAsia="仿宋_GB2312"/>
        <w:b/>
        <w:i w:val="0"/>
        <w:sz w:val="24"/>
        <w:szCs w:val="24"/>
      </w:rPr>
    </w:lvl>
    <w:lvl w:ilvl="1" w:tentative="0">
      <w:start w:val="1"/>
      <w:numFmt w:val="decimal"/>
      <w:lvlText w:val="%2."/>
      <w:lvlJc w:val="center"/>
      <w:pPr>
        <w:tabs>
          <w:tab w:val="left" w:pos="1077"/>
        </w:tabs>
        <w:ind w:left="1077" w:hanging="1077"/>
      </w:pPr>
      <w:rPr>
        <w:rFonts w:hint="eastAsia"/>
        <w:b w:val="0"/>
        <w:i w:val="0"/>
        <w:sz w:val="24"/>
        <w:szCs w:val="24"/>
      </w:rPr>
    </w:lvl>
    <w:lvl w:ilvl="2" w:tentative="0">
      <w:start w:val="1"/>
      <w:numFmt w:val="decimal"/>
      <w:lvlText w:val="%1.%2.%3"/>
      <w:lvlJc w:val="left"/>
      <w:pPr>
        <w:tabs>
          <w:tab w:val="left" w:pos="1077"/>
        </w:tabs>
        <w:ind w:left="1077" w:hanging="1077"/>
      </w:pPr>
      <w:rPr>
        <w:rFonts w:hint="default" w:ascii="Arial" w:hAnsi="Arial" w:eastAsia="宋体" w:cs="Arial"/>
        <w:b w:val="0"/>
        <w:i w:val="0"/>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4491B611"/>
    <w:multiLevelType w:val="multilevel"/>
    <w:tmpl w:val="4491B611"/>
    <w:lvl w:ilvl="0" w:tentative="0">
      <w:start w:val="1"/>
      <w:numFmt w:val="decimal"/>
      <w:lvlText w:val="%1"/>
      <w:lvlJc w:val="left"/>
      <w:pPr>
        <w:ind w:left="425" w:hanging="425"/>
      </w:pPr>
      <w:rPr>
        <w:rFonts w:hint="default"/>
      </w:rPr>
    </w:lvl>
    <w:lvl w:ilvl="1" w:tentative="0">
      <w:start w:val="1"/>
      <w:numFmt w:val="decimal"/>
      <w:lvlText w:val="%1.%2"/>
      <w:lvlJc w:val="left"/>
      <w:pPr>
        <w:ind w:left="0" w:leftChars="0" w:firstLine="40" w:firstLineChars="0"/>
      </w:pPr>
      <w:rPr>
        <w:rFonts w:hint="default"/>
      </w:rPr>
    </w:lvl>
    <w:lvl w:ilvl="2" w:tentative="0">
      <w:start w:val="1"/>
      <w:numFmt w:val="decimal"/>
      <w:lvlText w:val="%1.%2.%3"/>
      <w:lvlJc w:val="left"/>
      <w:pPr>
        <w:ind w:left="1418" w:hanging="567"/>
      </w:pPr>
      <w:rPr>
        <w:rFonts w:hint="default"/>
      </w:rPr>
    </w:lvl>
    <w:lvl w:ilvl="3" w:tentative="0">
      <w:start w:val="1"/>
      <w:numFmt w:val="decimal"/>
      <w:lvlText w:val="%1.%2.%3.%4"/>
      <w:lvlJc w:val="left"/>
      <w:pPr>
        <w:ind w:left="1984" w:hanging="708"/>
      </w:pPr>
      <w:rPr>
        <w:rFonts w:hint="default"/>
      </w:rPr>
    </w:lvl>
    <w:lvl w:ilvl="4" w:tentative="0">
      <w:start w:val="1"/>
      <w:numFmt w:val="decimal"/>
      <w:lvlText w:val="%1.%2.%3.%4.%5"/>
      <w:lvlJc w:val="left"/>
      <w:pPr>
        <w:ind w:left="2551" w:hanging="850"/>
      </w:pPr>
      <w:rPr>
        <w:rFonts w:hint="default"/>
      </w:rPr>
    </w:lvl>
    <w:lvl w:ilvl="5" w:tentative="0">
      <w:start w:val="1"/>
      <w:numFmt w:val="decimal"/>
      <w:lvlText w:val="%1.%2.%3.%4.%5.%6"/>
      <w:lvlJc w:val="left"/>
      <w:pPr>
        <w:ind w:left="3260" w:hanging="1134"/>
      </w:pPr>
      <w:rPr>
        <w:rFonts w:hint="default"/>
      </w:rPr>
    </w:lvl>
    <w:lvl w:ilvl="6" w:tentative="0">
      <w:start w:val="1"/>
      <w:numFmt w:val="decimal"/>
      <w:lvlText w:val="%1.%2.%3.%4.%5.%6.%7"/>
      <w:lvlJc w:val="left"/>
      <w:pPr>
        <w:ind w:left="3827" w:hanging="1276"/>
      </w:pPr>
      <w:rPr>
        <w:rFonts w:hint="default"/>
      </w:rPr>
    </w:lvl>
    <w:lvl w:ilvl="7" w:tentative="0">
      <w:start w:val="1"/>
      <w:numFmt w:val="decimal"/>
      <w:lvlText w:val="%1.%2.%3.%4.%5.%6.%7.%8"/>
      <w:lvlJc w:val="left"/>
      <w:pPr>
        <w:ind w:left="4394" w:hanging="1418"/>
      </w:pPr>
      <w:rPr>
        <w:rFonts w:hint="default"/>
      </w:rPr>
    </w:lvl>
    <w:lvl w:ilvl="8" w:tentative="0">
      <w:start w:val="1"/>
      <w:numFmt w:val="decimal"/>
      <w:lvlText w:val="%1.%2.%3.%4.%5.%6.%7.%8.%9"/>
      <w:lvlJc w:val="left"/>
      <w:pPr>
        <w:ind w:left="5102" w:hanging="1700"/>
      </w:pPr>
      <w:rPr>
        <w:rFonts w:hint="default"/>
      </w:rPr>
    </w:lvl>
  </w:abstractNum>
  <w:abstractNum w:abstractNumId="8">
    <w:nsid w:val="4AE32FA0"/>
    <w:multiLevelType w:val="multilevel"/>
    <w:tmpl w:val="4AE32FA0"/>
    <w:lvl w:ilvl="0" w:tentative="0">
      <w:start w:val="1"/>
      <w:numFmt w:val="decimal"/>
      <w:lvlText w:val="%1"/>
      <w:lvlJc w:val="left"/>
      <w:pPr>
        <w:tabs>
          <w:tab w:val="left" w:pos="454"/>
        </w:tabs>
        <w:ind w:left="454" w:hanging="454"/>
      </w:pPr>
      <w:rPr>
        <w:rFonts w:hint="eastAsia"/>
      </w:rPr>
    </w:lvl>
    <w:lvl w:ilvl="1" w:tentative="0">
      <w:start w:val="1"/>
      <w:numFmt w:val="decimal"/>
      <w:pStyle w:val="96"/>
      <w:lvlText w:val="%1.%2"/>
      <w:lvlJc w:val="left"/>
      <w:pPr>
        <w:tabs>
          <w:tab w:val="left" w:pos="1077"/>
        </w:tabs>
        <w:ind w:left="1077" w:hanging="623"/>
      </w:pPr>
      <w:rPr>
        <w:rFonts w:hint="eastAsia" w:ascii="宋体" w:hAnsi="宋体" w:eastAsia="宋体"/>
        <w:sz w:val="24"/>
        <w:szCs w:val="24"/>
      </w:rPr>
    </w:lvl>
    <w:lvl w:ilvl="2" w:tentative="0">
      <w:start w:val="1"/>
      <w:numFmt w:val="decimal"/>
      <w:lvlText w:val="%1.%2.%3"/>
      <w:lvlJc w:val="left"/>
      <w:pPr>
        <w:tabs>
          <w:tab w:val="left" w:pos="1928"/>
        </w:tabs>
        <w:ind w:left="1928" w:hanging="851"/>
      </w:pPr>
      <w:rPr>
        <w:rFonts w:hint="eastAsia" w:ascii="宋体" w:hAnsi="宋体" w:eastAsia="宋体"/>
        <w:sz w:val="24"/>
        <w:szCs w:val="24"/>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9">
    <w:nsid w:val="53FA5615"/>
    <w:multiLevelType w:val="multilevel"/>
    <w:tmpl w:val="53FA5615"/>
    <w:lvl w:ilvl="0" w:tentative="0">
      <w:start w:val="1"/>
      <w:numFmt w:val="chineseCountingThousand"/>
      <w:pStyle w:val="83"/>
      <w:lvlText w:val="%1、"/>
      <w:lvlJc w:val="left"/>
      <w:pPr>
        <w:ind w:left="420" w:hanging="420"/>
      </w:pPr>
      <w:rPr>
        <w:rFonts w:hint="eastAsia"/>
        <w:lang w:val="en-US"/>
      </w:rPr>
    </w:lvl>
    <w:lvl w:ilvl="1" w:tentative="0">
      <w:start w:val="1"/>
      <w:numFmt w:val="decimal"/>
      <w:lvlText w:val="%2、"/>
      <w:lvlJc w:val="left"/>
      <w:pPr>
        <w:ind w:left="810" w:hanging="39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6688E5E7"/>
    <w:multiLevelType w:val="multilevel"/>
    <w:tmpl w:val="6688E5E7"/>
    <w:lvl w:ilvl="0" w:tentative="0">
      <w:start w:val="1"/>
      <w:numFmt w:val="decimal"/>
      <w:lvlText w:val="1.%1"/>
      <w:lvlJc w:val="left"/>
      <w:pPr>
        <w:ind w:left="0" w:leftChars="0" w:firstLine="40" w:firstLineChars="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68E205DB"/>
    <w:multiLevelType w:val="multilevel"/>
    <w:tmpl w:val="68E205DB"/>
    <w:lvl w:ilvl="0" w:tentative="0">
      <w:start w:val="1"/>
      <w:numFmt w:val="decimal"/>
      <w:lvlText w:val="4.%1"/>
      <w:lvlJc w:val="left"/>
      <w:pPr>
        <w:ind w:left="420" w:hanging="420"/>
      </w:pPr>
      <w:rPr>
        <w:rFonts w:hint="default"/>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697B5A76"/>
    <w:multiLevelType w:val="multilevel"/>
    <w:tmpl w:val="697B5A76"/>
    <w:lvl w:ilvl="0" w:tentative="0">
      <w:start w:val="1"/>
      <w:numFmt w:val="decimal"/>
      <w:lvlText w:val="%1."/>
      <w:lvlJc w:val="left"/>
      <w:pPr>
        <w:tabs>
          <w:tab w:val="left" w:pos="937"/>
        </w:tabs>
        <w:ind w:left="-84" w:firstLine="510"/>
      </w:pPr>
      <w:rPr>
        <w:rFonts w:hint="eastAsia"/>
        <w:b w:val="0"/>
        <w:i w:val="0"/>
      </w:rPr>
    </w:lvl>
    <w:lvl w:ilvl="1" w:tentative="0">
      <w:start w:val="1"/>
      <w:numFmt w:val="decimal"/>
      <w:isLgl/>
      <w:lvlText w:val="%1.%2"/>
      <w:lvlJc w:val="left"/>
      <w:pPr>
        <w:ind w:left="786" w:hanging="360"/>
      </w:pPr>
      <w:rPr>
        <w:rFonts w:hint="default"/>
      </w:rPr>
    </w:lvl>
    <w:lvl w:ilvl="2" w:tentative="0">
      <w:start w:val="1"/>
      <w:numFmt w:val="decimal"/>
      <w:isLgl/>
      <w:lvlText w:val="%1.%2.%3"/>
      <w:lvlJc w:val="left"/>
      <w:pPr>
        <w:ind w:left="1146" w:hanging="720"/>
      </w:pPr>
      <w:rPr>
        <w:rFonts w:hint="default"/>
      </w:rPr>
    </w:lvl>
    <w:lvl w:ilvl="3" w:tentative="0">
      <w:start w:val="1"/>
      <w:numFmt w:val="decimal"/>
      <w:isLgl/>
      <w:lvlText w:val="%1.%2.%3.%4"/>
      <w:lvlJc w:val="left"/>
      <w:pPr>
        <w:ind w:left="1506" w:hanging="1080"/>
      </w:pPr>
      <w:rPr>
        <w:rFonts w:hint="default"/>
      </w:rPr>
    </w:lvl>
    <w:lvl w:ilvl="4" w:tentative="0">
      <w:start w:val="1"/>
      <w:numFmt w:val="decimal"/>
      <w:isLgl/>
      <w:lvlText w:val="%1.%2.%3.%4.%5"/>
      <w:lvlJc w:val="left"/>
      <w:pPr>
        <w:ind w:left="1506" w:hanging="1080"/>
      </w:pPr>
      <w:rPr>
        <w:rFonts w:hint="default"/>
      </w:rPr>
    </w:lvl>
    <w:lvl w:ilvl="5" w:tentative="0">
      <w:start w:val="1"/>
      <w:numFmt w:val="decimal"/>
      <w:isLgl/>
      <w:lvlText w:val="%1.%2.%3.%4.%5.%6"/>
      <w:lvlJc w:val="left"/>
      <w:pPr>
        <w:ind w:left="1866" w:hanging="1440"/>
      </w:pPr>
      <w:rPr>
        <w:rFonts w:hint="default"/>
      </w:rPr>
    </w:lvl>
    <w:lvl w:ilvl="6" w:tentative="0">
      <w:start w:val="1"/>
      <w:numFmt w:val="decimal"/>
      <w:isLgl/>
      <w:lvlText w:val="%1.%2.%3.%4.%5.%6.%7"/>
      <w:lvlJc w:val="left"/>
      <w:pPr>
        <w:ind w:left="1866" w:hanging="1440"/>
      </w:pPr>
      <w:rPr>
        <w:rFonts w:hint="default"/>
      </w:rPr>
    </w:lvl>
    <w:lvl w:ilvl="7" w:tentative="0">
      <w:start w:val="1"/>
      <w:numFmt w:val="decimal"/>
      <w:isLgl/>
      <w:lvlText w:val="%1.%2.%3.%4.%5.%6.%7.%8"/>
      <w:lvlJc w:val="left"/>
      <w:pPr>
        <w:ind w:left="2226" w:hanging="1800"/>
      </w:pPr>
      <w:rPr>
        <w:rFonts w:hint="default"/>
      </w:rPr>
    </w:lvl>
    <w:lvl w:ilvl="8" w:tentative="0">
      <w:start w:val="1"/>
      <w:numFmt w:val="decimal"/>
      <w:isLgl/>
      <w:lvlText w:val="%1.%2.%3.%4.%5.%6.%7.%8.%9"/>
      <w:lvlJc w:val="left"/>
      <w:pPr>
        <w:ind w:left="2226" w:hanging="1800"/>
      </w:pPr>
      <w:rPr>
        <w:rFonts w:hint="default"/>
      </w:rPr>
    </w:lvl>
  </w:abstractNum>
  <w:abstractNum w:abstractNumId="13">
    <w:nsid w:val="73425A49"/>
    <w:multiLevelType w:val="multilevel"/>
    <w:tmpl w:val="73425A49"/>
    <w:lvl w:ilvl="0" w:tentative="0">
      <w:start w:val="1"/>
      <w:numFmt w:val="decimal"/>
      <w:lvlText w:val="附件%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7CC5C7B5"/>
    <w:multiLevelType w:val="multilevel"/>
    <w:tmpl w:val="7CC5C7B5"/>
    <w:lvl w:ilvl="0" w:tentative="0">
      <w:start w:val="1"/>
      <w:numFmt w:val="decimal"/>
      <w:lvlText w:val="2.%1"/>
      <w:lvlJc w:val="left"/>
      <w:pPr>
        <w:ind w:left="0" w:leftChars="0" w:firstLine="40" w:firstLineChars="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6"/>
  </w:num>
  <w:num w:numId="2">
    <w:abstractNumId w:val="4"/>
  </w:num>
  <w:num w:numId="3">
    <w:abstractNumId w:val="9"/>
  </w:num>
  <w:num w:numId="4">
    <w:abstractNumId w:val="8"/>
  </w:num>
  <w:num w:numId="5">
    <w:abstractNumId w:val="12"/>
  </w:num>
  <w:num w:numId="6">
    <w:abstractNumId w:val="5"/>
  </w:num>
  <w:num w:numId="7">
    <w:abstractNumId w:val="11"/>
  </w:num>
  <w:num w:numId="8">
    <w:abstractNumId w:val="7"/>
  </w:num>
  <w:num w:numId="9">
    <w:abstractNumId w:val="2"/>
  </w:num>
  <w:num w:numId="10">
    <w:abstractNumId w:val="0"/>
  </w:num>
  <w:num w:numId="11">
    <w:abstractNumId w:val="10"/>
  </w:num>
  <w:num w:numId="12">
    <w:abstractNumId w:val="3"/>
  </w:num>
  <w:num w:numId="13">
    <w:abstractNumId w:val="14"/>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0"/>
  <w:bordersDoNotSurroundFooter w:val="0"/>
  <w:hideSpellingErrors/>
  <w:documentProtection w:edit="trackedChanges" w:enforcement="0"/>
  <w:defaultTabStop w:val="425"/>
  <w:displayHorizontalDrawingGridEvery w:val="1"/>
  <w:displayVerticalDrawingGridEvery w:val="1"/>
  <w:noPunctuationKerning w:val="1"/>
  <w:characterSpacingControl w:val="doNotCompress"/>
  <w:noLineBreaksAfter w:lang="zh-CN" w:val="([{·‘“〈《「『【〔〖（．［｛"/>
  <w:noLineBreaksBefore w:lang="zh-CN" w:val="!),.:;?]}¨·ˇˉ—‖’”…∶、。〃々〉》」』】〕〗！＂＇），．：；？］｀｜｝～"/>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yNDlhM2NkZjgyZDliNTYzYTJmOTg0OWE2NTUyYmEifQ=="/>
    <w:docVar w:name="KSO_WPS_MARK_KEY" w:val="7925618d-0578-4976-a801-3a311712b5c8"/>
  </w:docVars>
  <w:rsids>
    <w:rsidRoot w:val="007C47B9"/>
    <w:rsid w:val="00000190"/>
    <w:rsid w:val="00000A82"/>
    <w:rsid w:val="000020E5"/>
    <w:rsid w:val="00002EE2"/>
    <w:rsid w:val="00003A88"/>
    <w:rsid w:val="000042BB"/>
    <w:rsid w:val="000045D6"/>
    <w:rsid w:val="000056C8"/>
    <w:rsid w:val="00011579"/>
    <w:rsid w:val="0001230B"/>
    <w:rsid w:val="00012840"/>
    <w:rsid w:val="00013565"/>
    <w:rsid w:val="0002072C"/>
    <w:rsid w:val="00020802"/>
    <w:rsid w:val="00020AE8"/>
    <w:rsid w:val="00020B10"/>
    <w:rsid w:val="00020DE7"/>
    <w:rsid w:val="0002129E"/>
    <w:rsid w:val="00021F24"/>
    <w:rsid w:val="000229D7"/>
    <w:rsid w:val="00022A47"/>
    <w:rsid w:val="0002427F"/>
    <w:rsid w:val="00024304"/>
    <w:rsid w:val="000243E1"/>
    <w:rsid w:val="00025FF0"/>
    <w:rsid w:val="00026298"/>
    <w:rsid w:val="00027005"/>
    <w:rsid w:val="000329FC"/>
    <w:rsid w:val="00033501"/>
    <w:rsid w:val="00033A99"/>
    <w:rsid w:val="00034C4B"/>
    <w:rsid w:val="0003555C"/>
    <w:rsid w:val="000364CF"/>
    <w:rsid w:val="00042D71"/>
    <w:rsid w:val="00043B22"/>
    <w:rsid w:val="00043DFD"/>
    <w:rsid w:val="00045D16"/>
    <w:rsid w:val="000471F0"/>
    <w:rsid w:val="00047927"/>
    <w:rsid w:val="00047FE5"/>
    <w:rsid w:val="0005088B"/>
    <w:rsid w:val="00050CA9"/>
    <w:rsid w:val="00051B90"/>
    <w:rsid w:val="000528A5"/>
    <w:rsid w:val="000533CF"/>
    <w:rsid w:val="0005481F"/>
    <w:rsid w:val="000548F5"/>
    <w:rsid w:val="00054AFB"/>
    <w:rsid w:val="00054E1B"/>
    <w:rsid w:val="0005685D"/>
    <w:rsid w:val="000577C2"/>
    <w:rsid w:val="000601BC"/>
    <w:rsid w:val="000601DB"/>
    <w:rsid w:val="000608F7"/>
    <w:rsid w:val="00060DC2"/>
    <w:rsid w:val="000618FA"/>
    <w:rsid w:val="0006279A"/>
    <w:rsid w:val="00063A84"/>
    <w:rsid w:val="00064C40"/>
    <w:rsid w:val="00067DA4"/>
    <w:rsid w:val="00067E93"/>
    <w:rsid w:val="00067F80"/>
    <w:rsid w:val="00071751"/>
    <w:rsid w:val="000727D3"/>
    <w:rsid w:val="000733C4"/>
    <w:rsid w:val="00073C12"/>
    <w:rsid w:val="000743B8"/>
    <w:rsid w:val="00077815"/>
    <w:rsid w:val="00081766"/>
    <w:rsid w:val="00082D17"/>
    <w:rsid w:val="00084314"/>
    <w:rsid w:val="00085BD2"/>
    <w:rsid w:val="00090630"/>
    <w:rsid w:val="00090FD6"/>
    <w:rsid w:val="000925C8"/>
    <w:rsid w:val="000934D0"/>
    <w:rsid w:val="0009425A"/>
    <w:rsid w:val="0009426B"/>
    <w:rsid w:val="000A06D6"/>
    <w:rsid w:val="000A3239"/>
    <w:rsid w:val="000A49EC"/>
    <w:rsid w:val="000A5473"/>
    <w:rsid w:val="000B04E6"/>
    <w:rsid w:val="000B0E52"/>
    <w:rsid w:val="000B4082"/>
    <w:rsid w:val="000B6735"/>
    <w:rsid w:val="000B6EC8"/>
    <w:rsid w:val="000B6FE2"/>
    <w:rsid w:val="000B789F"/>
    <w:rsid w:val="000B7BDD"/>
    <w:rsid w:val="000C002E"/>
    <w:rsid w:val="000C2844"/>
    <w:rsid w:val="000C328E"/>
    <w:rsid w:val="000C3303"/>
    <w:rsid w:val="000C4643"/>
    <w:rsid w:val="000C5D84"/>
    <w:rsid w:val="000C5F36"/>
    <w:rsid w:val="000C68C4"/>
    <w:rsid w:val="000C7465"/>
    <w:rsid w:val="000C7927"/>
    <w:rsid w:val="000C792B"/>
    <w:rsid w:val="000D2E90"/>
    <w:rsid w:val="000D3845"/>
    <w:rsid w:val="000D43DF"/>
    <w:rsid w:val="000D4B98"/>
    <w:rsid w:val="000D635A"/>
    <w:rsid w:val="000D65F1"/>
    <w:rsid w:val="000D678D"/>
    <w:rsid w:val="000D6949"/>
    <w:rsid w:val="000D799B"/>
    <w:rsid w:val="000E5B74"/>
    <w:rsid w:val="000E5F8F"/>
    <w:rsid w:val="000E6B3F"/>
    <w:rsid w:val="000E7693"/>
    <w:rsid w:val="000E76C4"/>
    <w:rsid w:val="000E7B38"/>
    <w:rsid w:val="000F06AB"/>
    <w:rsid w:val="000F07EA"/>
    <w:rsid w:val="000F0971"/>
    <w:rsid w:val="000F209C"/>
    <w:rsid w:val="000F24B1"/>
    <w:rsid w:val="000F257F"/>
    <w:rsid w:val="000F6DFE"/>
    <w:rsid w:val="000F721D"/>
    <w:rsid w:val="0010000C"/>
    <w:rsid w:val="00101062"/>
    <w:rsid w:val="001016B8"/>
    <w:rsid w:val="00101960"/>
    <w:rsid w:val="00102DD1"/>
    <w:rsid w:val="001041EA"/>
    <w:rsid w:val="00106679"/>
    <w:rsid w:val="00107243"/>
    <w:rsid w:val="00107930"/>
    <w:rsid w:val="001079C6"/>
    <w:rsid w:val="00107BA4"/>
    <w:rsid w:val="00110D4C"/>
    <w:rsid w:val="00112C3E"/>
    <w:rsid w:val="00114015"/>
    <w:rsid w:val="001179A2"/>
    <w:rsid w:val="00117BF7"/>
    <w:rsid w:val="00120305"/>
    <w:rsid w:val="001208F7"/>
    <w:rsid w:val="00122989"/>
    <w:rsid w:val="001236EA"/>
    <w:rsid w:val="00125628"/>
    <w:rsid w:val="001268ED"/>
    <w:rsid w:val="00126A4E"/>
    <w:rsid w:val="00126C42"/>
    <w:rsid w:val="0012756B"/>
    <w:rsid w:val="00130225"/>
    <w:rsid w:val="00130BAA"/>
    <w:rsid w:val="00134728"/>
    <w:rsid w:val="001355B1"/>
    <w:rsid w:val="00137559"/>
    <w:rsid w:val="00140150"/>
    <w:rsid w:val="00140781"/>
    <w:rsid w:val="0014113D"/>
    <w:rsid w:val="00141B76"/>
    <w:rsid w:val="001429D2"/>
    <w:rsid w:val="00142A12"/>
    <w:rsid w:val="00143420"/>
    <w:rsid w:val="00144702"/>
    <w:rsid w:val="00145C07"/>
    <w:rsid w:val="00146452"/>
    <w:rsid w:val="0014679E"/>
    <w:rsid w:val="00147D6C"/>
    <w:rsid w:val="00147E87"/>
    <w:rsid w:val="0015071A"/>
    <w:rsid w:val="00150D9D"/>
    <w:rsid w:val="001512BA"/>
    <w:rsid w:val="00151377"/>
    <w:rsid w:val="001523ED"/>
    <w:rsid w:val="001527A4"/>
    <w:rsid w:val="0015495F"/>
    <w:rsid w:val="00155697"/>
    <w:rsid w:val="0016238B"/>
    <w:rsid w:val="001640F6"/>
    <w:rsid w:val="00164DDB"/>
    <w:rsid w:val="001650C1"/>
    <w:rsid w:val="001656C3"/>
    <w:rsid w:val="00166172"/>
    <w:rsid w:val="00167644"/>
    <w:rsid w:val="00167946"/>
    <w:rsid w:val="00170D1E"/>
    <w:rsid w:val="001716CB"/>
    <w:rsid w:val="00171FD6"/>
    <w:rsid w:val="001728B4"/>
    <w:rsid w:val="00172C8B"/>
    <w:rsid w:val="00173A07"/>
    <w:rsid w:val="001749BF"/>
    <w:rsid w:val="00174FD5"/>
    <w:rsid w:val="00175082"/>
    <w:rsid w:val="00175AF2"/>
    <w:rsid w:val="00177BD9"/>
    <w:rsid w:val="001808A2"/>
    <w:rsid w:val="00180B95"/>
    <w:rsid w:val="0018106B"/>
    <w:rsid w:val="0018264A"/>
    <w:rsid w:val="00182BAD"/>
    <w:rsid w:val="0018360D"/>
    <w:rsid w:val="001837E8"/>
    <w:rsid w:val="00185298"/>
    <w:rsid w:val="001866D4"/>
    <w:rsid w:val="001866FE"/>
    <w:rsid w:val="001873D1"/>
    <w:rsid w:val="00187DF1"/>
    <w:rsid w:val="001932F6"/>
    <w:rsid w:val="0019334C"/>
    <w:rsid w:val="001952DD"/>
    <w:rsid w:val="00195E28"/>
    <w:rsid w:val="001960D2"/>
    <w:rsid w:val="00196263"/>
    <w:rsid w:val="00196855"/>
    <w:rsid w:val="001A0268"/>
    <w:rsid w:val="001A187A"/>
    <w:rsid w:val="001A2455"/>
    <w:rsid w:val="001A3E8E"/>
    <w:rsid w:val="001A4075"/>
    <w:rsid w:val="001A41BF"/>
    <w:rsid w:val="001A5170"/>
    <w:rsid w:val="001A59C3"/>
    <w:rsid w:val="001A60C0"/>
    <w:rsid w:val="001A6917"/>
    <w:rsid w:val="001A6F48"/>
    <w:rsid w:val="001A7190"/>
    <w:rsid w:val="001A7915"/>
    <w:rsid w:val="001B1441"/>
    <w:rsid w:val="001B3588"/>
    <w:rsid w:val="001B393A"/>
    <w:rsid w:val="001B56ED"/>
    <w:rsid w:val="001B5E3B"/>
    <w:rsid w:val="001B6005"/>
    <w:rsid w:val="001B66E0"/>
    <w:rsid w:val="001B6FE1"/>
    <w:rsid w:val="001B701C"/>
    <w:rsid w:val="001B70BC"/>
    <w:rsid w:val="001C02E3"/>
    <w:rsid w:val="001C0807"/>
    <w:rsid w:val="001C1066"/>
    <w:rsid w:val="001C50D1"/>
    <w:rsid w:val="001C6E89"/>
    <w:rsid w:val="001C6FDB"/>
    <w:rsid w:val="001D392B"/>
    <w:rsid w:val="001D3BF5"/>
    <w:rsid w:val="001D5EC6"/>
    <w:rsid w:val="001D70EC"/>
    <w:rsid w:val="001D7520"/>
    <w:rsid w:val="001D7705"/>
    <w:rsid w:val="001E202B"/>
    <w:rsid w:val="001E306E"/>
    <w:rsid w:val="001E6C74"/>
    <w:rsid w:val="001E7396"/>
    <w:rsid w:val="001E7C82"/>
    <w:rsid w:val="001F0CE6"/>
    <w:rsid w:val="001F0F66"/>
    <w:rsid w:val="001F2DAC"/>
    <w:rsid w:val="001F2F85"/>
    <w:rsid w:val="001F350C"/>
    <w:rsid w:val="001F3F40"/>
    <w:rsid w:val="001F69D2"/>
    <w:rsid w:val="001F6DEF"/>
    <w:rsid w:val="001F75E8"/>
    <w:rsid w:val="002017E5"/>
    <w:rsid w:val="0020201B"/>
    <w:rsid w:val="0020319F"/>
    <w:rsid w:val="00204086"/>
    <w:rsid w:val="0020472B"/>
    <w:rsid w:val="00204ABD"/>
    <w:rsid w:val="00204B2F"/>
    <w:rsid w:val="00205B6B"/>
    <w:rsid w:val="0020631B"/>
    <w:rsid w:val="002066B1"/>
    <w:rsid w:val="00212704"/>
    <w:rsid w:val="0021477A"/>
    <w:rsid w:val="00216E94"/>
    <w:rsid w:val="002214AD"/>
    <w:rsid w:val="002219AB"/>
    <w:rsid w:val="00221DE2"/>
    <w:rsid w:val="002245EA"/>
    <w:rsid w:val="00224C93"/>
    <w:rsid w:val="00224DCD"/>
    <w:rsid w:val="00224DCE"/>
    <w:rsid w:val="00224EFA"/>
    <w:rsid w:val="00225667"/>
    <w:rsid w:val="00225DB3"/>
    <w:rsid w:val="002266AD"/>
    <w:rsid w:val="00226D3E"/>
    <w:rsid w:val="0022771C"/>
    <w:rsid w:val="00230978"/>
    <w:rsid w:val="00231D3E"/>
    <w:rsid w:val="002328B0"/>
    <w:rsid w:val="00234B41"/>
    <w:rsid w:val="00236927"/>
    <w:rsid w:val="00236B6D"/>
    <w:rsid w:val="00240AD4"/>
    <w:rsid w:val="00240D52"/>
    <w:rsid w:val="00241365"/>
    <w:rsid w:val="00242BD3"/>
    <w:rsid w:val="002430B1"/>
    <w:rsid w:val="00244C07"/>
    <w:rsid w:val="0024647F"/>
    <w:rsid w:val="00246E09"/>
    <w:rsid w:val="00250414"/>
    <w:rsid w:val="0025042B"/>
    <w:rsid w:val="00250C2D"/>
    <w:rsid w:val="00250C4A"/>
    <w:rsid w:val="00250ED6"/>
    <w:rsid w:val="0025147E"/>
    <w:rsid w:val="00251E00"/>
    <w:rsid w:val="0025535D"/>
    <w:rsid w:val="00255EBC"/>
    <w:rsid w:val="00256760"/>
    <w:rsid w:val="00260D88"/>
    <w:rsid w:val="00260F16"/>
    <w:rsid w:val="00261839"/>
    <w:rsid w:val="00261F18"/>
    <w:rsid w:val="00265BE6"/>
    <w:rsid w:val="00265C67"/>
    <w:rsid w:val="00267AD9"/>
    <w:rsid w:val="00272234"/>
    <w:rsid w:val="002738C4"/>
    <w:rsid w:val="002743E3"/>
    <w:rsid w:val="00274C85"/>
    <w:rsid w:val="0027686C"/>
    <w:rsid w:val="002808B0"/>
    <w:rsid w:val="002808F8"/>
    <w:rsid w:val="00281078"/>
    <w:rsid w:val="00282C7E"/>
    <w:rsid w:val="002835E4"/>
    <w:rsid w:val="00284DE3"/>
    <w:rsid w:val="002851F3"/>
    <w:rsid w:val="002859D2"/>
    <w:rsid w:val="002866A7"/>
    <w:rsid w:val="002907D7"/>
    <w:rsid w:val="00290BDF"/>
    <w:rsid w:val="00291C9E"/>
    <w:rsid w:val="002925AA"/>
    <w:rsid w:val="002931D0"/>
    <w:rsid w:val="00294BB6"/>
    <w:rsid w:val="00294C5E"/>
    <w:rsid w:val="00295A6E"/>
    <w:rsid w:val="002962F2"/>
    <w:rsid w:val="00296D45"/>
    <w:rsid w:val="0029715F"/>
    <w:rsid w:val="002972E3"/>
    <w:rsid w:val="002A170F"/>
    <w:rsid w:val="002A273F"/>
    <w:rsid w:val="002A287A"/>
    <w:rsid w:val="002A2C0D"/>
    <w:rsid w:val="002A70F9"/>
    <w:rsid w:val="002A73FD"/>
    <w:rsid w:val="002B0628"/>
    <w:rsid w:val="002B111B"/>
    <w:rsid w:val="002B2990"/>
    <w:rsid w:val="002B40A5"/>
    <w:rsid w:val="002B4D73"/>
    <w:rsid w:val="002B5D30"/>
    <w:rsid w:val="002B62D1"/>
    <w:rsid w:val="002B6C63"/>
    <w:rsid w:val="002B6D38"/>
    <w:rsid w:val="002B7E99"/>
    <w:rsid w:val="002C02C1"/>
    <w:rsid w:val="002C12A0"/>
    <w:rsid w:val="002C1D10"/>
    <w:rsid w:val="002C1EEE"/>
    <w:rsid w:val="002C5132"/>
    <w:rsid w:val="002C5133"/>
    <w:rsid w:val="002C728E"/>
    <w:rsid w:val="002D11C0"/>
    <w:rsid w:val="002D1322"/>
    <w:rsid w:val="002D188B"/>
    <w:rsid w:val="002D36ED"/>
    <w:rsid w:val="002D3B4F"/>
    <w:rsid w:val="002D3CF7"/>
    <w:rsid w:val="002D5125"/>
    <w:rsid w:val="002D52E2"/>
    <w:rsid w:val="002D67C0"/>
    <w:rsid w:val="002E0DDC"/>
    <w:rsid w:val="002E3437"/>
    <w:rsid w:val="002E4F68"/>
    <w:rsid w:val="002E5B73"/>
    <w:rsid w:val="002E5DC4"/>
    <w:rsid w:val="002E5E3C"/>
    <w:rsid w:val="002E5E5F"/>
    <w:rsid w:val="002E63C0"/>
    <w:rsid w:val="002E7542"/>
    <w:rsid w:val="002E7F1A"/>
    <w:rsid w:val="002F0AEA"/>
    <w:rsid w:val="002F2036"/>
    <w:rsid w:val="002F2AD0"/>
    <w:rsid w:val="002F42A2"/>
    <w:rsid w:val="002F465D"/>
    <w:rsid w:val="002F507D"/>
    <w:rsid w:val="002F5485"/>
    <w:rsid w:val="002F6248"/>
    <w:rsid w:val="002F6F24"/>
    <w:rsid w:val="002F7375"/>
    <w:rsid w:val="003002EF"/>
    <w:rsid w:val="0030073D"/>
    <w:rsid w:val="00300915"/>
    <w:rsid w:val="003009BB"/>
    <w:rsid w:val="00300BBD"/>
    <w:rsid w:val="00300E02"/>
    <w:rsid w:val="00303700"/>
    <w:rsid w:val="003067C8"/>
    <w:rsid w:val="00306E9E"/>
    <w:rsid w:val="00307685"/>
    <w:rsid w:val="00310A27"/>
    <w:rsid w:val="00310F4E"/>
    <w:rsid w:val="00312449"/>
    <w:rsid w:val="00312829"/>
    <w:rsid w:val="0031317C"/>
    <w:rsid w:val="00313BDC"/>
    <w:rsid w:val="00314472"/>
    <w:rsid w:val="003149EC"/>
    <w:rsid w:val="003162A6"/>
    <w:rsid w:val="00316EEB"/>
    <w:rsid w:val="00316EF8"/>
    <w:rsid w:val="003206E5"/>
    <w:rsid w:val="00322231"/>
    <w:rsid w:val="00322471"/>
    <w:rsid w:val="0032379C"/>
    <w:rsid w:val="003243A9"/>
    <w:rsid w:val="003249CB"/>
    <w:rsid w:val="00324B0F"/>
    <w:rsid w:val="00324BE8"/>
    <w:rsid w:val="00325CDE"/>
    <w:rsid w:val="003268C3"/>
    <w:rsid w:val="003307EC"/>
    <w:rsid w:val="00330A3A"/>
    <w:rsid w:val="00330F5A"/>
    <w:rsid w:val="00332782"/>
    <w:rsid w:val="00334453"/>
    <w:rsid w:val="0033447C"/>
    <w:rsid w:val="003356C0"/>
    <w:rsid w:val="0034039A"/>
    <w:rsid w:val="0034043B"/>
    <w:rsid w:val="00340608"/>
    <w:rsid w:val="003434DD"/>
    <w:rsid w:val="0034358F"/>
    <w:rsid w:val="00344EBF"/>
    <w:rsid w:val="00345FBC"/>
    <w:rsid w:val="00346D63"/>
    <w:rsid w:val="003501C4"/>
    <w:rsid w:val="003505F4"/>
    <w:rsid w:val="00350709"/>
    <w:rsid w:val="003516C4"/>
    <w:rsid w:val="0035216A"/>
    <w:rsid w:val="00353525"/>
    <w:rsid w:val="003544CB"/>
    <w:rsid w:val="003557F6"/>
    <w:rsid w:val="0035733B"/>
    <w:rsid w:val="0035777C"/>
    <w:rsid w:val="00360377"/>
    <w:rsid w:val="00361E9B"/>
    <w:rsid w:val="00363133"/>
    <w:rsid w:val="00363F30"/>
    <w:rsid w:val="003640A2"/>
    <w:rsid w:val="00364C01"/>
    <w:rsid w:val="00366916"/>
    <w:rsid w:val="00367C48"/>
    <w:rsid w:val="00367CBC"/>
    <w:rsid w:val="00371341"/>
    <w:rsid w:val="0037156E"/>
    <w:rsid w:val="0037160A"/>
    <w:rsid w:val="00371E35"/>
    <w:rsid w:val="00373573"/>
    <w:rsid w:val="00374593"/>
    <w:rsid w:val="003751D6"/>
    <w:rsid w:val="003760CA"/>
    <w:rsid w:val="00376BBF"/>
    <w:rsid w:val="003773B3"/>
    <w:rsid w:val="003808BE"/>
    <w:rsid w:val="003812E7"/>
    <w:rsid w:val="003814CD"/>
    <w:rsid w:val="003817D6"/>
    <w:rsid w:val="0038190B"/>
    <w:rsid w:val="0038281C"/>
    <w:rsid w:val="003834BB"/>
    <w:rsid w:val="00384777"/>
    <w:rsid w:val="00384D71"/>
    <w:rsid w:val="00386976"/>
    <w:rsid w:val="0039021B"/>
    <w:rsid w:val="003904A4"/>
    <w:rsid w:val="003907D1"/>
    <w:rsid w:val="00391A53"/>
    <w:rsid w:val="00391C99"/>
    <w:rsid w:val="0039219F"/>
    <w:rsid w:val="003936D7"/>
    <w:rsid w:val="00393BD1"/>
    <w:rsid w:val="00394133"/>
    <w:rsid w:val="00394A86"/>
    <w:rsid w:val="00396039"/>
    <w:rsid w:val="0039629A"/>
    <w:rsid w:val="003A0D7A"/>
    <w:rsid w:val="003A2391"/>
    <w:rsid w:val="003A3413"/>
    <w:rsid w:val="003A3851"/>
    <w:rsid w:val="003A3D57"/>
    <w:rsid w:val="003A3E87"/>
    <w:rsid w:val="003A4A50"/>
    <w:rsid w:val="003A5674"/>
    <w:rsid w:val="003A5ABE"/>
    <w:rsid w:val="003A72B4"/>
    <w:rsid w:val="003B03EF"/>
    <w:rsid w:val="003B0914"/>
    <w:rsid w:val="003B2F24"/>
    <w:rsid w:val="003B48A1"/>
    <w:rsid w:val="003B4E63"/>
    <w:rsid w:val="003B4FDD"/>
    <w:rsid w:val="003B6782"/>
    <w:rsid w:val="003B729B"/>
    <w:rsid w:val="003C05F8"/>
    <w:rsid w:val="003C1795"/>
    <w:rsid w:val="003C23F9"/>
    <w:rsid w:val="003C271E"/>
    <w:rsid w:val="003C2829"/>
    <w:rsid w:val="003C4843"/>
    <w:rsid w:val="003C50C1"/>
    <w:rsid w:val="003C51CB"/>
    <w:rsid w:val="003C71B3"/>
    <w:rsid w:val="003C72AB"/>
    <w:rsid w:val="003C7697"/>
    <w:rsid w:val="003C7A6C"/>
    <w:rsid w:val="003D13DD"/>
    <w:rsid w:val="003D149C"/>
    <w:rsid w:val="003D35C0"/>
    <w:rsid w:val="003D3FDD"/>
    <w:rsid w:val="003D5B8C"/>
    <w:rsid w:val="003D62A0"/>
    <w:rsid w:val="003D6420"/>
    <w:rsid w:val="003D650D"/>
    <w:rsid w:val="003D6DE6"/>
    <w:rsid w:val="003D6EE9"/>
    <w:rsid w:val="003E085D"/>
    <w:rsid w:val="003E2630"/>
    <w:rsid w:val="003E5C28"/>
    <w:rsid w:val="003E75FF"/>
    <w:rsid w:val="003E7E65"/>
    <w:rsid w:val="003F03E7"/>
    <w:rsid w:val="003F2DFB"/>
    <w:rsid w:val="003F3B93"/>
    <w:rsid w:val="003F3ED0"/>
    <w:rsid w:val="003F4671"/>
    <w:rsid w:val="003F482B"/>
    <w:rsid w:val="003F4B91"/>
    <w:rsid w:val="003F696C"/>
    <w:rsid w:val="003F7A96"/>
    <w:rsid w:val="00400276"/>
    <w:rsid w:val="00404148"/>
    <w:rsid w:val="00406B4C"/>
    <w:rsid w:val="00407140"/>
    <w:rsid w:val="004074D6"/>
    <w:rsid w:val="00407AB6"/>
    <w:rsid w:val="00411360"/>
    <w:rsid w:val="00411495"/>
    <w:rsid w:val="00411B28"/>
    <w:rsid w:val="00411D5A"/>
    <w:rsid w:val="004131A2"/>
    <w:rsid w:val="0041642C"/>
    <w:rsid w:val="00417DF6"/>
    <w:rsid w:val="004204AD"/>
    <w:rsid w:val="00420B5E"/>
    <w:rsid w:val="00421E27"/>
    <w:rsid w:val="00422C42"/>
    <w:rsid w:val="0042323E"/>
    <w:rsid w:val="00423CE6"/>
    <w:rsid w:val="00423F0E"/>
    <w:rsid w:val="00424380"/>
    <w:rsid w:val="00424D52"/>
    <w:rsid w:val="00426337"/>
    <w:rsid w:val="00426F76"/>
    <w:rsid w:val="004272CA"/>
    <w:rsid w:val="00430CD9"/>
    <w:rsid w:val="0043142B"/>
    <w:rsid w:val="00432494"/>
    <w:rsid w:val="00432D5C"/>
    <w:rsid w:val="00432F4E"/>
    <w:rsid w:val="00435329"/>
    <w:rsid w:val="00436D3E"/>
    <w:rsid w:val="00436E06"/>
    <w:rsid w:val="00436F98"/>
    <w:rsid w:val="00437468"/>
    <w:rsid w:val="00437DD8"/>
    <w:rsid w:val="004408C0"/>
    <w:rsid w:val="00440CA0"/>
    <w:rsid w:val="00441754"/>
    <w:rsid w:val="00442822"/>
    <w:rsid w:val="00442CAA"/>
    <w:rsid w:val="00443028"/>
    <w:rsid w:val="00443A5A"/>
    <w:rsid w:val="00445568"/>
    <w:rsid w:val="0044559A"/>
    <w:rsid w:val="00446A24"/>
    <w:rsid w:val="00446C5B"/>
    <w:rsid w:val="004478CD"/>
    <w:rsid w:val="00450898"/>
    <w:rsid w:val="004508F9"/>
    <w:rsid w:val="00451772"/>
    <w:rsid w:val="00452152"/>
    <w:rsid w:val="0045367F"/>
    <w:rsid w:val="00453D71"/>
    <w:rsid w:val="004557C4"/>
    <w:rsid w:val="004563AA"/>
    <w:rsid w:val="0046179B"/>
    <w:rsid w:val="00465D36"/>
    <w:rsid w:val="0046603E"/>
    <w:rsid w:val="00467BD3"/>
    <w:rsid w:val="00470281"/>
    <w:rsid w:val="004705C5"/>
    <w:rsid w:val="004705FD"/>
    <w:rsid w:val="00471237"/>
    <w:rsid w:val="0047183F"/>
    <w:rsid w:val="004723A0"/>
    <w:rsid w:val="00474A68"/>
    <w:rsid w:val="00475060"/>
    <w:rsid w:val="0047535C"/>
    <w:rsid w:val="00475C94"/>
    <w:rsid w:val="004768D0"/>
    <w:rsid w:val="0047731D"/>
    <w:rsid w:val="00480013"/>
    <w:rsid w:val="00480F32"/>
    <w:rsid w:val="004815D7"/>
    <w:rsid w:val="00481A75"/>
    <w:rsid w:val="00481CC9"/>
    <w:rsid w:val="004832CA"/>
    <w:rsid w:val="00483492"/>
    <w:rsid w:val="00485B0B"/>
    <w:rsid w:val="004861D1"/>
    <w:rsid w:val="00486265"/>
    <w:rsid w:val="00492B8C"/>
    <w:rsid w:val="00493646"/>
    <w:rsid w:val="0049436D"/>
    <w:rsid w:val="00494659"/>
    <w:rsid w:val="00494B9D"/>
    <w:rsid w:val="00494FDD"/>
    <w:rsid w:val="004958BB"/>
    <w:rsid w:val="00496DBA"/>
    <w:rsid w:val="004A0488"/>
    <w:rsid w:val="004A3220"/>
    <w:rsid w:val="004A6D68"/>
    <w:rsid w:val="004B0A68"/>
    <w:rsid w:val="004B103A"/>
    <w:rsid w:val="004B119C"/>
    <w:rsid w:val="004B11B3"/>
    <w:rsid w:val="004B1681"/>
    <w:rsid w:val="004B47E7"/>
    <w:rsid w:val="004B61C9"/>
    <w:rsid w:val="004B6310"/>
    <w:rsid w:val="004B6697"/>
    <w:rsid w:val="004B6DB0"/>
    <w:rsid w:val="004B7F17"/>
    <w:rsid w:val="004C18B1"/>
    <w:rsid w:val="004C1A68"/>
    <w:rsid w:val="004C2DB6"/>
    <w:rsid w:val="004C3BB4"/>
    <w:rsid w:val="004C6290"/>
    <w:rsid w:val="004C6513"/>
    <w:rsid w:val="004D17EC"/>
    <w:rsid w:val="004D2DB1"/>
    <w:rsid w:val="004D3748"/>
    <w:rsid w:val="004D4571"/>
    <w:rsid w:val="004D4991"/>
    <w:rsid w:val="004D4FDD"/>
    <w:rsid w:val="004D5EE0"/>
    <w:rsid w:val="004D6C28"/>
    <w:rsid w:val="004D733E"/>
    <w:rsid w:val="004E13D0"/>
    <w:rsid w:val="004E1762"/>
    <w:rsid w:val="004E2A36"/>
    <w:rsid w:val="004E2BB0"/>
    <w:rsid w:val="004E2E1B"/>
    <w:rsid w:val="004E3975"/>
    <w:rsid w:val="004E6195"/>
    <w:rsid w:val="004E76BC"/>
    <w:rsid w:val="004F0167"/>
    <w:rsid w:val="004F020A"/>
    <w:rsid w:val="004F0842"/>
    <w:rsid w:val="004F0EBE"/>
    <w:rsid w:val="004F2CEE"/>
    <w:rsid w:val="004F3519"/>
    <w:rsid w:val="004F35FA"/>
    <w:rsid w:val="004F36D1"/>
    <w:rsid w:val="004F392B"/>
    <w:rsid w:val="004F3DA3"/>
    <w:rsid w:val="004F3E98"/>
    <w:rsid w:val="004F3EAB"/>
    <w:rsid w:val="004F4763"/>
    <w:rsid w:val="004F5F57"/>
    <w:rsid w:val="005011AE"/>
    <w:rsid w:val="00501671"/>
    <w:rsid w:val="00501810"/>
    <w:rsid w:val="00501A2F"/>
    <w:rsid w:val="00501FFE"/>
    <w:rsid w:val="00504B18"/>
    <w:rsid w:val="00505BEB"/>
    <w:rsid w:val="00506534"/>
    <w:rsid w:val="005069B0"/>
    <w:rsid w:val="00507277"/>
    <w:rsid w:val="0050751E"/>
    <w:rsid w:val="00510141"/>
    <w:rsid w:val="005101CB"/>
    <w:rsid w:val="00510984"/>
    <w:rsid w:val="00510D7A"/>
    <w:rsid w:val="00510D80"/>
    <w:rsid w:val="00512654"/>
    <w:rsid w:val="00512C02"/>
    <w:rsid w:val="00515847"/>
    <w:rsid w:val="005169F9"/>
    <w:rsid w:val="00517AEC"/>
    <w:rsid w:val="00520F7A"/>
    <w:rsid w:val="00520F7D"/>
    <w:rsid w:val="0052269E"/>
    <w:rsid w:val="005230CA"/>
    <w:rsid w:val="005237F1"/>
    <w:rsid w:val="00525CAF"/>
    <w:rsid w:val="00526B5A"/>
    <w:rsid w:val="00526E63"/>
    <w:rsid w:val="00526F70"/>
    <w:rsid w:val="00527863"/>
    <w:rsid w:val="00532244"/>
    <w:rsid w:val="0053273D"/>
    <w:rsid w:val="0053278C"/>
    <w:rsid w:val="0053302B"/>
    <w:rsid w:val="0053327E"/>
    <w:rsid w:val="00533632"/>
    <w:rsid w:val="005342F0"/>
    <w:rsid w:val="00534581"/>
    <w:rsid w:val="00534A89"/>
    <w:rsid w:val="00534EC6"/>
    <w:rsid w:val="005374FD"/>
    <w:rsid w:val="00537F73"/>
    <w:rsid w:val="00537F99"/>
    <w:rsid w:val="00541E71"/>
    <w:rsid w:val="005426C8"/>
    <w:rsid w:val="00542CB6"/>
    <w:rsid w:val="005432D9"/>
    <w:rsid w:val="00544342"/>
    <w:rsid w:val="005445FD"/>
    <w:rsid w:val="005447F9"/>
    <w:rsid w:val="00546184"/>
    <w:rsid w:val="00546D13"/>
    <w:rsid w:val="00547010"/>
    <w:rsid w:val="005475ED"/>
    <w:rsid w:val="00547D96"/>
    <w:rsid w:val="00550742"/>
    <w:rsid w:val="0055130E"/>
    <w:rsid w:val="00553100"/>
    <w:rsid w:val="00553A79"/>
    <w:rsid w:val="005545C0"/>
    <w:rsid w:val="0055477A"/>
    <w:rsid w:val="00554EBD"/>
    <w:rsid w:val="00560E72"/>
    <w:rsid w:val="00561103"/>
    <w:rsid w:val="00563173"/>
    <w:rsid w:val="0056376B"/>
    <w:rsid w:val="0056395F"/>
    <w:rsid w:val="00563F60"/>
    <w:rsid w:val="00566CEA"/>
    <w:rsid w:val="00570069"/>
    <w:rsid w:val="005729D7"/>
    <w:rsid w:val="005729DB"/>
    <w:rsid w:val="00573274"/>
    <w:rsid w:val="0057357F"/>
    <w:rsid w:val="005735C8"/>
    <w:rsid w:val="00574243"/>
    <w:rsid w:val="005773AC"/>
    <w:rsid w:val="005778B7"/>
    <w:rsid w:val="00577F0C"/>
    <w:rsid w:val="0058024D"/>
    <w:rsid w:val="00580816"/>
    <w:rsid w:val="00582285"/>
    <w:rsid w:val="00582B24"/>
    <w:rsid w:val="0058308F"/>
    <w:rsid w:val="005844D3"/>
    <w:rsid w:val="005855FB"/>
    <w:rsid w:val="005856BE"/>
    <w:rsid w:val="005878BD"/>
    <w:rsid w:val="0059062A"/>
    <w:rsid w:val="005907A2"/>
    <w:rsid w:val="00591B67"/>
    <w:rsid w:val="00593C6D"/>
    <w:rsid w:val="00593D76"/>
    <w:rsid w:val="00593D9B"/>
    <w:rsid w:val="00594A6F"/>
    <w:rsid w:val="005950D0"/>
    <w:rsid w:val="0059651B"/>
    <w:rsid w:val="005975CA"/>
    <w:rsid w:val="00597D44"/>
    <w:rsid w:val="005A0478"/>
    <w:rsid w:val="005A08BF"/>
    <w:rsid w:val="005A0A38"/>
    <w:rsid w:val="005A1819"/>
    <w:rsid w:val="005A1C87"/>
    <w:rsid w:val="005A31D3"/>
    <w:rsid w:val="005A3C60"/>
    <w:rsid w:val="005A447C"/>
    <w:rsid w:val="005A5ABE"/>
    <w:rsid w:val="005A5D97"/>
    <w:rsid w:val="005A5DC5"/>
    <w:rsid w:val="005A72A7"/>
    <w:rsid w:val="005B1066"/>
    <w:rsid w:val="005B1741"/>
    <w:rsid w:val="005B1B68"/>
    <w:rsid w:val="005B2A9F"/>
    <w:rsid w:val="005B44D0"/>
    <w:rsid w:val="005B5ABA"/>
    <w:rsid w:val="005B78CE"/>
    <w:rsid w:val="005C0897"/>
    <w:rsid w:val="005C0F7B"/>
    <w:rsid w:val="005C11CB"/>
    <w:rsid w:val="005C1742"/>
    <w:rsid w:val="005C1E2E"/>
    <w:rsid w:val="005C22FF"/>
    <w:rsid w:val="005C3473"/>
    <w:rsid w:val="005C3481"/>
    <w:rsid w:val="005C34CA"/>
    <w:rsid w:val="005C3B14"/>
    <w:rsid w:val="005C3F72"/>
    <w:rsid w:val="005C4706"/>
    <w:rsid w:val="005C51A2"/>
    <w:rsid w:val="005C51B4"/>
    <w:rsid w:val="005C53C8"/>
    <w:rsid w:val="005C5EC2"/>
    <w:rsid w:val="005D2D50"/>
    <w:rsid w:val="005D44AE"/>
    <w:rsid w:val="005D468E"/>
    <w:rsid w:val="005D48CD"/>
    <w:rsid w:val="005D6F54"/>
    <w:rsid w:val="005E0DA5"/>
    <w:rsid w:val="005E0F8F"/>
    <w:rsid w:val="005E11A9"/>
    <w:rsid w:val="005E29D8"/>
    <w:rsid w:val="005E3A26"/>
    <w:rsid w:val="005E4B79"/>
    <w:rsid w:val="005E4EF7"/>
    <w:rsid w:val="005E6707"/>
    <w:rsid w:val="005E74FA"/>
    <w:rsid w:val="005E77AC"/>
    <w:rsid w:val="005F06C7"/>
    <w:rsid w:val="005F077E"/>
    <w:rsid w:val="005F125D"/>
    <w:rsid w:val="005F179E"/>
    <w:rsid w:val="005F1CE1"/>
    <w:rsid w:val="005F2CAE"/>
    <w:rsid w:val="005F5CDC"/>
    <w:rsid w:val="005F5CDD"/>
    <w:rsid w:val="005F6B71"/>
    <w:rsid w:val="005F79E8"/>
    <w:rsid w:val="00600572"/>
    <w:rsid w:val="00600C21"/>
    <w:rsid w:val="006019F9"/>
    <w:rsid w:val="00605AB1"/>
    <w:rsid w:val="006065DC"/>
    <w:rsid w:val="00606EE1"/>
    <w:rsid w:val="00606F77"/>
    <w:rsid w:val="0060762A"/>
    <w:rsid w:val="00607795"/>
    <w:rsid w:val="00611B0C"/>
    <w:rsid w:val="00611CB6"/>
    <w:rsid w:val="00612147"/>
    <w:rsid w:val="00612B2A"/>
    <w:rsid w:val="00612EA8"/>
    <w:rsid w:val="00614936"/>
    <w:rsid w:val="00614D50"/>
    <w:rsid w:val="006155C2"/>
    <w:rsid w:val="00615641"/>
    <w:rsid w:val="00615964"/>
    <w:rsid w:val="00615ADB"/>
    <w:rsid w:val="00615B82"/>
    <w:rsid w:val="006168E8"/>
    <w:rsid w:val="00620C6E"/>
    <w:rsid w:val="00621F64"/>
    <w:rsid w:val="00622303"/>
    <w:rsid w:val="00622384"/>
    <w:rsid w:val="006226F0"/>
    <w:rsid w:val="00622B11"/>
    <w:rsid w:val="006238DC"/>
    <w:rsid w:val="00623E3E"/>
    <w:rsid w:val="0062419F"/>
    <w:rsid w:val="00624327"/>
    <w:rsid w:val="0062573C"/>
    <w:rsid w:val="00625A6B"/>
    <w:rsid w:val="0062607F"/>
    <w:rsid w:val="00630A32"/>
    <w:rsid w:val="0063122D"/>
    <w:rsid w:val="006314EC"/>
    <w:rsid w:val="00631D0C"/>
    <w:rsid w:val="00633ED7"/>
    <w:rsid w:val="006346B7"/>
    <w:rsid w:val="00635053"/>
    <w:rsid w:val="00635E57"/>
    <w:rsid w:val="00635FC7"/>
    <w:rsid w:val="0063616A"/>
    <w:rsid w:val="006369B2"/>
    <w:rsid w:val="00642972"/>
    <w:rsid w:val="006439EF"/>
    <w:rsid w:val="00644602"/>
    <w:rsid w:val="006446D3"/>
    <w:rsid w:val="0064545F"/>
    <w:rsid w:val="00645C5C"/>
    <w:rsid w:val="00646388"/>
    <w:rsid w:val="00646411"/>
    <w:rsid w:val="006471A1"/>
    <w:rsid w:val="00647857"/>
    <w:rsid w:val="006478DD"/>
    <w:rsid w:val="00651F4F"/>
    <w:rsid w:val="00652293"/>
    <w:rsid w:val="00660A8D"/>
    <w:rsid w:val="00663647"/>
    <w:rsid w:val="00667239"/>
    <w:rsid w:val="00667F35"/>
    <w:rsid w:val="00670248"/>
    <w:rsid w:val="00675831"/>
    <w:rsid w:val="00676048"/>
    <w:rsid w:val="006763B8"/>
    <w:rsid w:val="006779C6"/>
    <w:rsid w:val="00680329"/>
    <w:rsid w:val="0068160B"/>
    <w:rsid w:val="0068215B"/>
    <w:rsid w:val="00682479"/>
    <w:rsid w:val="006829AA"/>
    <w:rsid w:val="00682DC7"/>
    <w:rsid w:val="00683229"/>
    <w:rsid w:val="006841E0"/>
    <w:rsid w:val="00684327"/>
    <w:rsid w:val="0068559A"/>
    <w:rsid w:val="00687838"/>
    <w:rsid w:val="0069014A"/>
    <w:rsid w:val="00692ABE"/>
    <w:rsid w:val="00692B71"/>
    <w:rsid w:val="0069458D"/>
    <w:rsid w:val="0069469F"/>
    <w:rsid w:val="006961CD"/>
    <w:rsid w:val="00696D79"/>
    <w:rsid w:val="00696DA7"/>
    <w:rsid w:val="006970D1"/>
    <w:rsid w:val="0069735F"/>
    <w:rsid w:val="006A1070"/>
    <w:rsid w:val="006A1756"/>
    <w:rsid w:val="006A2787"/>
    <w:rsid w:val="006A3A72"/>
    <w:rsid w:val="006A5993"/>
    <w:rsid w:val="006A5E33"/>
    <w:rsid w:val="006A5EFA"/>
    <w:rsid w:val="006A6147"/>
    <w:rsid w:val="006A6A08"/>
    <w:rsid w:val="006A6B73"/>
    <w:rsid w:val="006B0EAC"/>
    <w:rsid w:val="006B1B0C"/>
    <w:rsid w:val="006B22B4"/>
    <w:rsid w:val="006B32CD"/>
    <w:rsid w:val="006B3517"/>
    <w:rsid w:val="006B3743"/>
    <w:rsid w:val="006B3E19"/>
    <w:rsid w:val="006B546A"/>
    <w:rsid w:val="006B7B06"/>
    <w:rsid w:val="006C0739"/>
    <w:rsid w:val="006C0F1D"/>
    <w:rsid w:val="006C28A2"/>
    <w:rsid w:val="006C28B0"/>
    <w:rsid w:val="006C2C20"/>
    <w:rsid w:val="006C5AF2"/>
    <w:rsid w:val="006C5B65"/>
    <w:rsid w:val="006C63FC"/>
    <w:rsid w:val="006C6616"/>
    <w:rsid w:val="006C69C1"/>
    <w:rsid w:val="006D0C1C"/>
    <w:rsid w:val="006D2E5A"/>
    <w:rsid w:val="006D3FCF"/>
    <w:rsid w:val="006D412A"/>
    <w:rsid w:val="006D4D06"/>
    <w:rsid w:val="006D7FD0"/>
    <w:rsid w:val="006E28E7"/>
    <w:rsid w:val="006E32A1"/>
    <w:rsid w:val="006E337B"/>
    <w:rsid w:val="006E3C75"/>
    <w:rsid w:val="006E46DB"/>
    <w:rsid w:val="006E4C87"/>
    <w:rsid w:val="006E4E92"/>
    <w:rsid w:val="006E50AC"/>
    <w:rsid w:val="006E571C"/>
    <w:rsid w:val="006E585D"/>
    <w:rsid w:val="006E6B0F"/>
    <w:rsid w:val="006E6C5F"/>
    <w:rsid w:val="006E6DFA"/>
    <w:rsid w:val="006E7137"/>
    <w:rsid w:val="006E74D0"/>
    <w:rsid w:val="006F1F54"/>
    <w:rsid w:val="006F290A"/>
    <w:rsid w:val="006F4198"/>
    <w:rsid w:val="006F46B0"/>
    <w:rsid w:val="006F4C65"/>
    <w:rsid w:val="006F5C58"/>
    <w:rsid w:val="006F6B2E"/>
    <w:rsid w:val="007006C6"/>
    <w:rsid w:val="007007BD"/>
    <w:rsid w:val="00700FE1"/>
    <w:rsid w:val="00701417"/>
    <w:rsid w:val="00701BD9"/>
    <w:rsid w:val="0070210E"/>
    <w:rsid w:val="00702120"/>
    <w:rsid w:val="0070416A"/>
    <w:rsid w:val="007043DE"/>
    <w:rsid w:val="00705763"/>
    <w:rsid w:val="007069E3"/>
    <w:rsid w:val="007100A8"/>
    <w:rsid w:val="0071042D"/>
    <w:rsid w:val="007109B9"/>
    <w:rsid w:val="00710E6F"/>
    <w:rsid w:val="007117F8"/>
    <w:rsid w:val="00711B0C"/>
    <w:rsid w:val="007121E3"/>
    <w:rsid w:val="007125E2"/>
    <w:rsid w:val="00712EB6"/>
    <w:rsid w:val="007131DA"/>
    <w:rsid w:val="0071441E"/>
    <w:rsid w:val="007149FB"/>
    <w:rsid w:val="00714E5F"/>
    <w:rsid w:val="00715230"/>
    <w:rsid w:val="00715B98"/>
    <w:rsid w:val="00716817"/>
    <w:rsid w:val="0071683E"/>
    <w:rsid w:val="00716AF0"/>
    <w:rsid w:val="00720A86"/>
    <w:rsid w:val="00720D01"/>
    <w:rsid w:val="00722103"/>
    <w:rsid w:val="00722AB7"/>
    <w:rsid w:val="00723036"/>
    <w:rsid w:val="00723CF3"/>
    <w:rsid w:val="00724A0A"/>
    <w:rsid w:val="0072540C"/>
    <w:rsid w:val="0072545D"/>
    <w:rsid w:val="00726180"/>
    <w:rsid w:val="0072736A"/>
    <w:rsid w:val="00730DAF"/>
    <w:rsid w:val="0073153E"/>
    <w:rsid w:val="007332D2"/>
    <w:rsid w:val="00734CC5"/>
    <w:rsid w:val="00735207"/>
    <w:rsid w:val="00735D25"/>
    <w:rsid w:val="007365EF"/>
    <w:rsid w:val="007365FF"/>
    <w:rsid w:val="00736869"/>
    <w:rsid w:val="007374E2"/>
    <w:rsid w:val="00740E5B"/>
    <w:rsid w:val="00741002"/>
    <w:rsid w:val="00743970"/>
    <w:rsid w:val="00744215"/>
    <w:rsid w:val="0074440E"/>
    <w:rsid w:val="00744F12"/>
    <w:rsid w:val="00745B0A"/>
    <w:rsid w:val="00746A6B"/>
    <w:rsid w:val="00746E61"/>
    <w:rsid w:val="00747EEA"/>
    <w:rsid w:val="00747F09"/>
    <w:rsid w:val="0075148B"/>
    <w:rsid w:val="0075297C"/>
    <w:rsid w:val="00753B6E"/>
    <w:rsid w:val="00753C0C"/>
    <w:rsid w:val="00753FD9"/>
    <w:rsid w:val="00754C5B"/>
    <w:rsid w:val="00762479"/>
    <w:rsid w:val="0076287E"/>
    <w:rsid w:val="0076297C"/>
    <w:rsid w:val="00762E20"/>
    <w:rsid w:val="007654EE"/>
    <w:rsid w:val="0076596F"/>
    <w:rsid w:val="00765FAA"/>
    <w:rsid w:val="0076625A"/>
    <w:rsid w:val="00766C48"/>
    <w:rsid w:val="007673DD"/>
    <w:rsid w:val="00771DDB"/>
    <w:rsid w:val="00772D98"/>
    <w:rsid w:val="00773EAA"/>
    <w:rsid w:val="00776361"/>
    <w:rsid w:val="007766B8"/>
    <w:rsid w:val="007774E7"/>
    <w:rsid w:val="0078185F"/>
    <w:rsid w:val="00781B5C"/>
    <w:rsid w:val="00782015"/>
    <w:rsid w:val="00783447"/>
    <w:rsid w:val="00783B79"/>
    <w:rsid w:val="007859A4"/>
    <w:rsid w:val="00785A21"/>
    <w:rsid w:val="007866E9"/>
    <w:rsid w:val="00786E0E"/>
    <w:rsid w:val="0079135A"/>
    <w:rsid w:val="00791770"/>
    <w:rsid w:val="00791F13"/>
    <w:rsid w:val="00793696"/>
    <w:rsid w:val="007945A1"/>
    <w:rsid w:val="0079511C"/>
    <w:rsid w:val="007969E2"/>
    <w:rsid w:val="00797812"/>
    <w:rsid w:val="00797CF1"/>
    <w:rsid w:val="007A0165"/>
    <w:rsid w:val="007A0371"/>
    <w:rsid w:val="007A135B"/>
    <w:rsid w:val="007A1D1F"/>
    <w:rsid w:val="007A230D"/>
    <w:rsid w:val="007A2B63"/>
    <w:rsid w:val="007A582F"/>
    <w:rsid w:val="007A5C5E"/>
    <w:rsid w:val="007A617B"/>
    <w:rsid w:val="007A61CD"/>
    <w:rsid w:val="007A75CA"/>
    <w:rsid w:val="007B0C1B"/>
    <w:rsid w:val="007B0C77"/>
    <w:rsid w:val="007B0E12"/>
    <w:rsid w:val="007B161D"/>
    <w:rsid w:val="007B3369"/>
    <w:rsid w:val="007B3B73"/>
    <w:rsid w:val="007B431E"/>
    <w:rsid w:val="007B47FE"/>
    <w:rsid w:val="007B57FC"/>
    <w:rsid w:val="007B58FB"/>
    <w:rsid w:val="007B6F40"/>
    <w:rsid w:val="007B74CC"/>
    <w:rsid w:val="007C0372"/>
    <w:rsid w:val="007C0D79"/>
    <w:rsid w:val="007C2141"/>
    <w:rsid w:val="007C25EC"/>
    <w:rsid w:val="007C25FD"/>
    <w:rsid w:val="007C330B"/>
    <w:rsid w:val="007C47B9"/>
    <w:rsid w:val="007C5437"/>
    <w:rsid w:val="007C58F4"/>
    <w:rsid w:val="007C6CA1"/>
    <w:rsid w:val="007C7468"/>
    <w:rsid w:val="007D1775"/>
    <w:rsid w:val="007D2D76"/>
    <w:rsid w:val="007D32AF"/>
    <w:rsid w:val="007D35AF"/>
    <w:rsid w:val="007D4040"/>
    <w:rsid w:val="007D5754"/>
    <w:rsid w:val="007D5AFB"/>
    <w:rsid w:val="007D5F2D"/>
    <w:rsid w:val="007D6598"/>
    <w:rsid w:val="007D68EA"/>
    <w:rsid w:val="007D75D4"/>
    <w:rsid w:val="007E0CB7"/>
    <w:rsid w:val="007E1557"/>
    <w:rsid w:val="007E1B4E"/>
    <w:rsid w:val="007E2447"/>
    <w:rsid w:val="007E322A"/>
    <w:rsid w:val="007E3594"/>
    <w:rsid w:val="007E3690"/>
    <w:rsid w:val="007E387D"/>
    <w:rsid w:val="007E45F0"/>
    <w:rsid w:val="007E5A39"/>
    <w:rsid w:val="007E6514"/>
    <w:rsid w:val="007E6FA6"/>
    <w:rsid w:val="007E73C7"/>
    <w:rsid w:val="007F1F1A"/>
    <w:rsid w:val="007F528E"/>
    <w:rsid w:val="007F558D"/>
    <w:rsid w:val="007F57FB"/>
    <w:rsid w:val="007F5917"/>
    <w:rsid w:val="007F5F9C"/>
    <w:rsid w:val="007F6562"/>
    <w:rsid w:val="0080403A"/>
    <w:rsid w:val="00804208"/>
    <w:rsid w:val="008048B8"/>
    <w:rsid w:val="00804991"/>
    <w:rsid w:val="0080549D"/>
    <w:rsid w:val="00805EA9"/>
    <w:rsid w:val="00806368"/>
    <w:rsid w:val="008066F3"/>
    <w:rsid w:val="008071DE"/>
    <w:rsid w:val="008078A2"/>
    <w:rsid w:val="00807E18"/>
    <w:rsid w:val="00807F7C"/>
    <w:rsid w:val="00807FFA"/>
    <w:rsid w:val="00811546"/>
    <w:rsid w:val="00812F1D"/>
    <w:rsid w:val="0081316C"/>
    <w:rsid w:val="008136C3"/>
    <w:rsid w:val="0081445B"/>
    <w:rsid w:val="0081572E"/>
    <w:rsid w:val="00815A8A"/>
    <w:rsid w:val="0081775F"/>
    <w:rsid w:val="008227C5"/>
    <w:rsid w:val="00823273"/>
    <w:rsid w:val="008269AB"/>
    <w:rsid w:val="00826BDE"/>
    <w:rsid w:val="00826F7C"/>
    <w:rsid w:val="00827A6A"/>
    <w:rsid w:val="00827D70"/>
    <w:rsid w:val="008309A7"/>
    <w:rsid w:val="00833390"/>
    <w:rsid w:val="0083412C"/>
    <w:rsid w:val="00834CE6"/>
    <w:rsid w:val="00834E6F"/>
    <w:rsid w:val="00835045"/>
    <w:rsid w:val="008353AF"/>
    <w:rsid w:val="008379A2"/>
    <w:rsid w:val="00837AA8"/>
    <w:rsid w:val="0084029C"/>
    <w:rsid w:val="00843EFB"/>
    <w:rsid w:val="00844C8D"/>
    <w:rsid w:val="00845232"/>
    <w:rsid w:val="0084557F"/>
    <w:rsid w:val="008464A6"/>
    <w:rsid w:val="00846779"/>
    <w:rsid w:val="0084780D"/>
    <w:rsid w:val="00850F63"/>
    <w:rsid w:val="00851937"/>
    <w:rsid w:val="008532F4"/>
    <w:rsid w:val="00854009"/>
    <w:rsid w:val="008561F1"/>
    <w:rsid w:val="00861890"/>
    <w:rsid w:val="00864005"/>
    <w:rsid w:val="008664AB"/>
    <w:rsid w:val="00867552"/>
    <w:rsid w:val="00867D6F"/>
    <w:rsid w:val="008709F8"/>
    <w:rsid w:val="008713B6"/>
    <w:rsid w:val="0087202D"/>
    <w:rsid w:val="0087328C"/>
    <w:rsid w:val="0087402A"/>
    <w:rsid w:val="008747FE"/>
    <w:rsid w:val="0087536A"/>
    <w:rsid w:val="00875641"/>
    <w:rsid w:val="00880475"/>
    <w:rsid w:val="00881500"/>
    <w:rsid w:val="00882B0B"/>
    <w:rsid w:val="0088377A"/>
    <w:rsid w:val="00884E16"/>
    <w:rsid w:val="00885803"/>
    <w:rsid w:val="00886493"/>
    <w:rsid w:val="00886854"/>
    <w:rsid w:val="008868B7"/>
    <w:rsid w:val="00886B71"/>
    <w:rsid w:val="00887D4E"/>
    <w:rsid w:val="008911A2"/>
    <w:rsid w:val="00892564"/>
    <w:rsid w:val="0089324C"/>
    <w:rsid w:val="00893C09"/>
    <w:rsid w:val="0089405A"/>
    <w:rsid w:val="00894E32"/>
    <w:rsid w:val="00896A82"/>
    <w:rsid w:val="00897D26"/>
    <w:rsid w:val="008A33F8"/>
    <w:rsid w:val="008A36CD"/>
    <w:rsid w:val="008A5758"/>
    <w:rsid w:val="008A6FB1"/>
    <w:rsid w:val="008B06E8"/>
    <w:rsid w:val="008B1ACE"/>
    <w:rsid w:val="008B1D14"/>
    <w:rsid w:val="008B27B8"/>
    <w:rsid w:val="008B2A1D"/>
    <w:rsid w:val="008B3B9F"/>
    <w:rsid w:val="008B4C67"/>
    <w:rsid w:val="008B568C"/>
    <w:rsid w:val="008B5779"/>
    <w:rsid w:val="008B5B62"/>
    <w:rsid w:val="008B6C93"/>
    <w:rsid w:val="008B7836"/>
    <w:rsid w:val="008C1309"/>
    <w:rsid w:val="008C136F"/>
    <w:rsid w:val="008C1E83"/>
    <w:rsid w:val="008C205B"/>
    <w:rsid w:val="008C212E"/>
    <w:rsid w:val="008C242E"/>
    <w:rsid w:val="008C2AF3"/>
    <w:rsid w:val="008C3054"/>
    <w:rsid w:val="008C4D34"/>
    <w:rsid w:val="008C5AB9"/>
    <w:rsid w:val="008C5EE0"/>
    <w:rsid w:val="008C6545"/>
    <w:rsid w:val="008C67A5"/>
    <w:rsid w:val="008C6C16"/>
    <w:rsid w:val="008C6D25"/>
    <w:rsid w:val="008C7521"/>
    <w:rsid w:val="008D0A37"/>
    <w:rsid w:val="008D3288"/>
    <w:rsid w:val="008D5474"/>
    <w:rsid w:val="008D5ACD"/>
    <w:rsid w:val="008D5B7A"/>
    <w:rsid w:val="008D5FCC"/>
    <w:rsid w:val="008D6358"/>
    <w:rsid w:val="008D696C"/>
    <w:rsid w:val="008E136D"/>
    <w:rsid w:val="008E1736"/>
    <w:rsid w:val="008E2013"/>
    <w:rsid w:val="008E284A"/>
    <w:rsid w:val="008E3250"/>
    <w:rsid w:val="008E4E5E"/>
    <w:rsid w:val="008E61DA"/>
    <w:rsid w:val="008F1488"/>
    <w:rsid w:val="008F1CB1"/>
    <w:rsid w:val="008F351D"/>
    <w:rsid w:val="008F3910"/>
    <w:rsid w:val="008F4F9A"/>
    <w:rsid w:val="008F7977"/>
    <w:rsid w:val="008F7A62"/>
    <w:rsid w:val="008F7EFC"/>
    <w:rsid w:val="009013FD"/>
    <w:rsid w:val="0090147E"/>
    <w:rsid w:val="00901E6F"/>
    <w:rsid w:val="009020A2"/>
    <w:rsid w:val="00902781"/>
    <w:rsid w:val="00902EC0"/>
    <w:rsid w:val="0090305D"/>
    <w:rsid w:val="00905DB0"/>
    <w:rsid w:val="00906974"/>
    <w:rsid w:val="0090708C"/>
    <w:rsid w:val="009116F5"/>
    <w:rsid w:val="009123FF"/>
    <w:rsid w:val="00913602"/>
    <w:rsid w:val="00913E55"/>
    <w:rsid w:val="0091446D"/>
    <w:rsid w:val="009149CB"/>
    <w:rsid w:val="009153B5"/>
    <w:rsid w:val="00915EC8"/>
    <w:rsid w:val="009163D6"/>
    <w:rsid w:val="00916D30"/>
    <w:rsid w:val="00917DB4"/>
    <w:rsid w:val="009205F6"/>
    <w:rsid w:val="00920D35"/>
    <w:rsid w:val="00920EEA"/>
    <w:rsid w:val="009213F3"/>
    <w:rsid w:val="00921585"/>
    <w:rsid w:val="0092194A"/>
    <w:rsid w:val="009221F9"/>
    <w:rsid w:val="009225B5"/>
    <w:rsid w:val="00924095"/>
    <w:rsid w:val="009241F2"/>
    <w:rsid w:val="00924CD4"/>
    <w:rsid w:val="00925082"/>
    <w:rsid w:val="0092772F"/>
    <w:rsid w:val="00927C02"/>
    <w:rsid w:val="00927F18"/>
    <w:rsid w:val="00930AE9"/>
    <w:rsid w:val="009314CB"/>
    <w:rsid w:val="009318B2"/>
    <w:rsid w:val="00931E30"/>
    <w:rsid w:val="00933E8A"/>
    <w:rsid w:val="009341D9"/>
    <w:rsid w:val="00935027"/>
    <w:rsid w:val="009366BA"/>
    <w:rsid w:val="00936EE4"/>
    <w:rsid w:val="00937C71"/>
    <w:rsid w:val="00937DD4"/>
    <w:rsid w:val="009409F4"/>
    <w:rsid w:val="009412BF"/>
    <w:rsid w:val="009414F3"/>
    <w:rsid w:val="0094197B"/>
    <w:rsid w:val="0094201B"/>
    <w:rsid w:val="0094204F"/>
    <w:rsid w:val="00942C41"/>
    <w:rsid w:val="00943BE3"/>
    <w:rsid w:val="00944D98"/>
    <w:rsid w:val="0094533B"/>
    <w:rsid w:val="00946D76"/>
    <w:rsid w:val="0094766F"/>
    <w:rsid w:val="00950AD3"/>
    <w:rsid w:val="0095159E"/>
    <w:rsid w:val="009522DD"/>
    <w:rsid w:val="00954B59"/>
    <w:rsid w:val="009553E9"/>
    <w:rsid w:val="00955D3B"/>
    <w:rsid w:val="0095635C"/>
    <w:rsid w:val="009565EB"/>
    <w:rsid w:val="00956659"/>
    <w:rsid w:val="009566A6"/>
    <w:rsid w:val="0095708C"/>
    <w:rsid w:val="00957B67"/>
    <w:rsid w:val="00957E22"/>
    <w:rsid w:val="009602C0"/>
    <w:rsid w:val="0096121C"/>
    <w:rsid w:val="0096138C"/>
    <w:rsid w:val="00961792"/>
    <w:rsid w:val="00961DDC"/>
    <w:rsid w:val="00962499"/>
    <w:rsid w:val="009626A2"/>
    <w:rsid w:val="00962E86"/>
    <w:rsid w:val="00963DF0"/>
    <w:rsid w:val="00965242"/>
    <w:rsid w:val="009663F6"/>
    <w:rsid w:val="00967315"/>
    <w:rsid w:val="009703F7"/>
    <w:rsid w:val="009710E4"/>
    <w:rsid w:val="0097289F"/>
    <w:rsid w:val="00973824"/>
    <w:rsid w:val="00973C04"/>
    <w:rsid w:val="00976899"/>
    <w:rsid w:val="00976F79"/>
    <w:rsid w:val="0098011B"/>
    <w:rsid w:val="0098081F"/>
    <w:rsid w:val="00983FA1"/>
    <w:rsid w:val="00984102"/>
    <w:rsid w:val="00984752"/>
    <w:rsid w:val="009851D1"/>
    <w:rsid w:val="0098556F"/>
    <w:rsid w:val="00985795"/>
    <w:rsid w:val="00986F41"/>
    <w:rsid w:val="00987841"/>
    <w:rsid w:val="00987B2A"/>
    <w:rsid w:val="00987DF8"/>
    <w:rsid w:val="00987ED4"/>
    <w:rsid w:val="00990D8D"/>
    <w:rsid w:val="009921F1"/>
    <w:rsid w:val="009927C6"/>
    <w:rsid w:val="00992E0B"/>
    <w:rsid w:val="009930B7"/>
    <w:rsid w:val="00995D49"/>
    <w:rsid w:val="00997B6D"/>
    <w:rsid w:val="009A27CE"/>
    <w:rsid w:val="009A29DE"/>
    <w:rsid w:val="009A3E14"/>
    <w:rsid w:val="009A59C0"/>
    <w:rsid w:val="009A5B9C"/>
    <w:rsid w:val="009A6192"/>
    <w:rsid w:val="009A633B"/>
    <w:rsid w:val="009A6971"/>
    <w:rsid w:val="009A6CC3"/>
    <w:rsid w:val="009A7086"/>
    <w:rsid w:val="009B2FB6"/>
    <w:rsid w:val="009B336E"/>
    <w:rsid w:val="009B4522"/>
    <w:rsid w:val="009B5237"/>
    <w:rsid w:val="009B5515"/>
    <w:rsid w:val="009B5864"/>
    <w:rsid w:val="009B71E7"/>
    <w:rsid w:val="009C0061"/>
    <w:rsid w:val="009C1E4C"/>
    <w:rsid w:val="009C23F0"/>
    <w:rsid w:val="009C4B75"/>
    <w:rsid w:val="009C5151"/>
    <w:rsid w:val="009C6B1A"/>
    <w:rsid w:val="009C74B8"/>
    <w:rsid w:val="009C7509"/>
    <w:rsid w:val="009D0CD8"/>
    <w:rsid w:val="009D1B0C"/>
    <w:rsid w:val="009D49C9"/>
    <w:rsid w:val="009D58A3"/>
    <w:rsid w:val="009D6847"/>
    <w:rsid w:val="009D7D6E"/>
    <w:rsid w:val="009E0213"/>
    <w:rsid w:val="009E0D8D"/>
    <w:rsid w:val="009E18C1"/>
    <w:rsid w:val="009E1ADD"/>
    <w:rsid w:val="009E22FF"/>
    <w:rsid w:val="009E473F"/>
    <w:rsid w:val="009E5487"/>
    <w:rsid w:val="009E5989"/>
    <w:rsid w:val="009E5CE2"/>
    <w:rsid w:val="009E5F5A"/>
    <w:rsid w:val="009E72F4"/>
    <w:rsid w:val="009F0048"/>
    <w:rsid w:val="009F073B"/>
    <w:rsid w:val="009F1708"/>
    <w:rsid w:val="009F33AC"/>
    <w:rsid w:val="009F44E1"/>
    <w:rsid w:val="009F49FC"/>
    <w:rsid w:val="009F5902"/>
    <w:rsid w:val="009F79EF"/>
    <w:rsid w:val="00A00703"/>
    <w:rsid w:val="00A02EC0"/>
    <w:rsid w:val="00A02F3F"/>
    <w:rsid w:val="00A030B9"/>
    <w:rsid w:val="00A03180"/>
    <w:rsid w:val="00A04247"/>
    <w:rsid w:val="00A05726"/>
    <w:rsid w:val="00A07543"/>
    <w:rsid w:val="00A07F36"/>
    <w:rsid w:val="00A10332"/>
    <w:rsid w:val="00A1048D"/>
    <w:rsid w:val="00A10D3C"/>
    <w:rsid w:val="00A11DA3"/>
    <w:rsid w:val="00A14448"/>
    <w:rsid w:val="00A15782"/>
    <w:rsid w:val="00A16EC8"/>
    <w:rsid w:val="00A172E9"/>
    <w:rsid w:val="00A17E31"/>
    <w:rsid w:val="00A20F71"/>
    <w:rsid w:val="00A213E3"/>
    <w:rsid w:val="00A21D53"/>
    <w:rsid w:val="00A223DE"/>
    <w:rsid w:val="00A235F9"/>
    <w:rsid w:val="00A23A92"/>
    <w:rsid w:val="00A2652B"/>
    <w:rsid w:val="00A30022"/>
    <w:rsid w:val="00A3039A"/>
    <w:rsid w:val="00A30CD0"/>
    <w:rsid w:val="00A31DA6"/>
    <w:rsid w:val="00A333C7"/>
    <w:rsid w:val="00A35561"/>
    <w:rsid w:val="00A356B4"/>
    <w:rsid w:val="00A35E48"/>
    <w:rsid w:val="00A36E83"/>
    <w:rsid w:val="00A40721"/>
    <w:rsid w:val="00A43CF4"/>
    <w:rsid w:val="00A440CF"/>
    <w:rsid w:val="00A45ECF"/>
    <w:rsid w:val="00A4647E"/>
    <w:rsid w:val="00A468AE"/>
    <w:rsid w:val="00A47A1D"/>
    <w:rsid w:val="00A50C05"/>
    <w:rsid w:val="00A50EB1"/>
    <w:rsid w:val="00A51131"/>
    <w:rsid w:val="00A52059"/>
    <w:rsid w:val="00A53589"/>
    <w:rsid w:val="00A541D3"/>
    <w:rsid w:val="00A54310"/>
    <w:rsid w:val="00A5493D"/>
    <w:rsid w:val="00A555FF"/>
    <w:rsid w:val="00A565CF"/>
    <w:rsid w:val="00A60376"/>
    <w:rsid w:val="00A608FF"/>
    <w:rsid w:val="00A60B00"/>
    <w:rsid w:val="00A611BF"/>
    <w:rsid w:val="00A6133C"/>
    <w:rsid w:val="00A6136C"/>
    <w:rsid w:val="00A6263C"/>
    <w:rsid w:val="00A62A00"/>
    <w:rsid w:val="00A63DA1"/>
    <w:rsid w:val="00A64635"/>
    <w:rsid w:val="00A64B8F"/>
    <w:rsid w:val="00A65BC0"/>
    <w:rsid w:val="00A6657E"/>
    <w:rsid w:val="00A666E0"/>
    <w:rsid w:val="00A66E04"/>
    <w:rsid w:val="00A675C0"/>
    <w:rsid w:val="00A67954"/>
    <w:rsid w:val="00A67974"/>
    <w:rsid w:val="00A73C15"/>
    <w:rsid w:val="00A73CC8"/>
    <w:rsid w:val="00A7465C"/>
    <w:rsid w:val="00A74791"/>
    <w:rsid w:val="00A74AEF"/>
    <w:rsid w:val="00A74B53"/>
    <w:rsid w:val="00A74CC3"/>
    <w:rsid w:val="00A7513B"/>
    <w:rsid w:val="00A76672"/>
    <w:rsid w:val="00A766A9"/>
    <w:rsid w:val="00A76737"/>
    <w:rsid w:val="00A77014"/>
    <w:rsid w:val="00A80304"/>
    <w:rsid w:val="00A8115A"/>
    <w:rsid w:val="00A813C3"/>
    <w:rsid w:val="00A81AF0"/>
    <w:rsid w:val="00A835C3"/>
    <w:rsid w:val="00A838AC"/>
    <w:rsid w:val="00A843E3"/>
    <w:rsid w:val="00A85088"/>
    <w:rsid w:val="00A8532D"/>
    <w:rsid w:val="00A8628F"/>
    <w:rsid w:val="00A86E9F"/>
    <w:rsid w:val="00A92FC6"/>
    <w:rsid w:val="00A93435"/>
    <w:rsid w:val="00A93732"/>
    <w:rsid w:val="00A93AD8"/>
    <w:rsid w:val="00A941DB"/>
    <w:rsid w:val="00A945F0"/>
    <w:rsid w:val="00A96DD9"/>
    <w:rsid w:val="00AA1216"/>
    <w:rsid w:val="00AA2047"/>
    <w:rsid w:val="00AA34CF"/>
    <w:rsid w:val="00AA3B35"/>
    <w:rsid w:val="00AA44CE"/>
    <w:rsid w:val="00AA4A03"/>
    <w:rsid w:val="00AA56F9"/>
    <w:rsid w:val="00AA58A2"/>
    <w:rsid w:val="00AA5F1F"/>
    <w:rsid w:val="00AA657B"/>
    <w:rsid w:val="00AA756E"/>
    <w:rsid w:val="00AB0B57"/>
    <w:rsid w:val="00AB125E"/>
    <w:rsid w:val="00AB13B3"/>
    <w:rsid w:val="00AB21F1"/>
    <w:rsid w:val="00AB43F9"/>
    <w:rsid w:val="00AB598A"/>
    <w:rsid w:val="00AB5ABD"/>
    <w:rsid w:val="00AB5FC9"/>
    <w:rsid w:val="00AB605C"/>
    <w:rsid w:val="00AB6592"/>
    <w:rsid w:val="00AC078A"/>
    <w:rsid w:val="00AC07FF"/>
    <w:rsid w:val="00AC19C6"/>
    <w:rsid w:val="00AC22E5"/>
    <w:rsid w:val="00AC2394"/>
    <w:rsid w:val="00AC2AD3"/>
    <w:rsid w:val="00AC3692"/>
    <w:rsid w:val="00AC387F"/>
    <w:rsid w:val="00AC4CE2"/>
    <w:rsid w:val="00AC5332"/>
    <w:rsid w:val="00AC5B48"/>
    <w:rsid w:val="00AC64A0"/>
    <w:rsid w:val="00AC72D7"/>
    <w:rsid w:val="00AC72E8"/>
    <w:rsid w:val="00AC74E2"/>
    <w:rsid w:val="00AC7B3E"/>
    <w:rsid w:val="00AC7DE8"/>
    <w:rsid w:val="00AD007B"/>
    <w:rsid w:val="00AD1590"/>
    <w:rsid w:val="00AD2815"/>
    <w:rsid w:val="00AD34F8"/>
    <w:rsid w:val="00AD3C94"/>
    <w:rsid w:val="00AD50F5"/>
    <w:rsid w:val="00AD5400"/>
    <w:rsid w:val="00AD5AD5"/>
    <w:rsid w:val="00AD70AC"/>
    <w:rsid w:val="00AE0B6C"/>
    <w:rsid w:val="00AE0D43"/>
    <w:rsid w:val="00AE20C3"/>
    <w:rsid w:val="00AE3254"/>
    <w:rsid w:val="00AE3F5E"/>
    <w:rsid w:val="00AE58B7"/>
    <w:rsid w:val="00AE6664"/>
    <w:rsid w:val="00AE774F"/>
    <w:rsid w:val="00AF032F"/>
    <w:rsid w:val="00AF03FF"/>
    <w:rsid w:val="00AF17FD"/>
    <w:rsid w:val="00AF1D20"/>
    <w:rsid w:val="00AF4058"/>
    <w:rsid w:val="00AF5920"/>
    <w:rsid w:val="00AF7BEA"/>
    <w:rsid w:val="00B00978"/>
    <w:rsid w:val="00B02235"/>
    <w:rsid w:val="00B0227D"/>
    <w:rsid w:val="00B037E6"/>
    <w:rsid w:val="00B04942"/>
    <w:rsid w:val="00B054B0"/>
    <w:rsid w:val="00B077EC"/>
    <w:rsid w:val="00B114DE"/>
    <w:rsid w:val="00B127CF"/>
    <w:rsid w:val="00B13DDD"/>
    <w:rsid w:val="00B15C1D"/>
    <w:rsid w:val="00B1652E"/>
    <w:rsid w:val="00B17C9B"/>
    <w:rsid w:val="00B17F08"/>
    <w:rsid w:val="00B20B2D"/>
    <w:rsid w:val="00B21384"/>
    <w:rsid w:val="00B2592B"/>
    <w:rsid w:val="00B2612E"/>
    <w:rsid w:val="00B30786"/>
    <w:rsid w:val="00B30B8A"/>
    <w:rsid w:val="00B312D6"/>
    <w:rsid w:val="00B31313"/>
    <w:rsid w:val="00B328D6"/>
    <w:rsid w:val="00B32A7E"/>
    <w:rsid w:val="00B32B5F"/>
    <w:rsid w:val="00B33495"/>
    <w:rsid w:val="00B34695"/>
    <w:rsid w:val="00B348A3"/>
    <w:rsid w:val="00B348AD"/>
    <w:rsid w:val="00B34E6D"/>
    <w:rsid w:val="00B35853"/>
    <w:rsid w:val="00B35E9F"/>
    <w:rsid w:val="00B3601C"/>
    <w:rsid w:val="00B37066"/>
    <w:rsid w:val="00B3723E"/>
    <w:rsid w:val="00B40F7C"/>
    <w:rsid w:val="00B4153C"/>
    <w:rsid w:val="00B41D07"/>
    <w:rsid w:val="00B41E36"/>
    <w:rsid w:val="00B4306D"/>
    <w:rsid w:val="00B437DD"/>
    <w:rsid w:val="00B439B1"/>
    <w:rsid w:val="00B44635"/>
    <w:rsid w:val="00B45E3B"/>
    <w:rsid w:val="00B47D29"/>
    <w:rsid w:val="00B53017"/>
    <w:rsid w:val="00B56817"/>
    <w:rsid w:val="00B5771F"/>
    <w:rsid w:val="00B57D72"/>
    <w:rsid w:val="00B57F5C"/>
    <w:rsid w:val="00B57FFD"/>
    <w:rsid w:val="00B61298"/>
    <w:rsid w:val="00B617AD"/>
    <w:rsid w:val="00B61EC1"/>
    <w:rsid w:val="00B6201A"/>
    <w:rsid w:val="00B6249D"/>
    <w:rsid w:val="00B626A2"/>
    <w:rsid w:val="00B62828"/>
    <w:rsid w:val="00B6320B"/>
    <w:rsid w:val="00B639A9"/>
    <w:rsid w:val="00B64B2A"/>
    <w:rsid w:val="00B6599F"/>
    <w:rsid w:val="00B6698C"/>
    <w:rsid w:val="00B67056"/>
    <w:rsid w:val="00B67FC5"/>
    <w:rsid w:val="00B70C6D"/>
    <w:rsid w:val="00B7129D"/>
    <w:rsid w:val="00B715CC"/>
    <w:rsid w:val="00B7242D"/>
    <w:rsid w:val="00B72529"/>
    <w:rsid w:val="00B72874"/>
    <w:rsid w:val="00B767B3"/>
    <w:rsid w:val="00B76854"/>
    <w:rsid w:val="00B77328"/>
    <w:rsid w:val="00B77BE9"/>
    <w:rsid w:val="00B80C32"/>
    <w:rsid w:val="00B811C4"/>
    <w:rsid w:val="00B81B3D"/>
    <w:rsid w:val="00B84898"/>
    <w:rsid w:val="00B85071"/>
    <w:rsid w:val="00B85412"/>
    <w:rsid w:val="00B85F19"/>
    <w:rsid w:val="00B860FC"/>
    <w:rsid w:val="00B863D7"/>
    <w:rsid w:val="00B86669"/>
    <w:rsid w:val="00B86F88"/>
    <w:rsid w:val="00B87516"/>
    <w:rsid w:val="00B877B6"/>
    <w:rsid w:val="00B87A78"/>
    <w:rsid w:val="00B87E23"/>
    <w:rsid w:val="00B90405"/>
    <w:rsid w:val="00B91621"/>
    <w:rsid w:val="00B917CF"/>
    <w:rsid w:val="00B92761"/>
    <w:rsid w:val="00B92E93"/>
    <w:rsid w:val="00B94530"/>
    <w:rsid w:val="00B94D38"/>
    <w:rsid w:val="00B9503B"/>
    <w:rsid w:val="00B96A19"/>
    <w:rsid w:val="00B97AB5"/>
    <w:rsid w:val="00BA161C"/>
    <w:rsid w:val="00BA199F"/>
    <w:rsid w:val="00BA48DC"/>
    <w:rsid w:val="00BA5312"/>
    <w:rsid w:val="00BA75C4"/>
    <w:rsid w:val="00BB20B9"/>
    <w:rsid w:val="00BB2C92"/>
    <w:rsid w:val="00BB2D6D"/>
    <w:rsid w:val="00BB3465"/>
    <w:rsid w:val="00BB422D"/>
    <w:rsid w:val="00BB55A4"/>
    <w:rsid w:val="00BB55B9"/>
    <w:rsid w:val="00BB7AC3"/>
    <w:rsid w:val="00BC0181"/>
    <w:rsid w:val="00BC028D"/>
    <w:rsid w:val="00BC082C"/>
    <w:rsid w:val="00BC1763"/>
    <w:rsid w:val="00BC1947"/>
    <w:rsid w:val="00BC1C11"/>
    <w:rsid w:val="00BC334E"/>
    <w:rsid w:val="00BC3C8B"/>
    <w:rsid w:val="00BC56DA"/>
    <w:rsid w:val="00BC6038"/>
    <w:rsid w:val="00BC611E"/>
    <w:rsid w:val="00BC6ACF"/>
    <w:rsid w:val="00BC7177"/>
    <w:rsid w:val="00BC73DC"/>
    <w:rsid w:val="00BD0F4A"/>
    <w:rsid w:val="00BD3AC9"/>
    <w:rsid w:val="00BD458F"/>
    <w:rsid w:val="00BD46DC"/>
    <w:rsid w:val="00BD4842"/>
    <w:rsid w:val="00BD50C5"/>
    <w:rsid w:val="00BD56EA"/>
    <w:rsid w:val="00BD5AD7"/>
    <w:rsid w:val="00BD5BE6"/>
    <w:rsid w:val="00BD6484"/>
    <w:rsid w:val="00BD719B"/>
    <w:rsid w:val="00BD73D1"/>
    <w:rsid w:val="00BE0070"/>
    <w:rsid w:val="00BE0252"/>
    <w:rsid w:val="00BE05D8"/>
    <w:rsid w:val="00BE117E"/>
    <w:rsid w:val="00BE256C"/>
    <w:rsid w:val="00BE2B08"/>
    <w:rsid w:val="00BE3066"/>
    <w:rsid w:val="00BE30B1"/>
    <w:rsid w:val="00BE6344"/>
    <w:rsid w:val="00BE6E99"/>
    <w:rsid w:val="00BE7FBA"/>
    <w:rsid w:val="00BF123B"/>
    <w:rsid w:val="00BF1B59"/>
    <w:rsid w:val="00BF2B76"/>
    <w:rsid w:val="00BF2CDD"/>
    <w:rsid w:val="00BF3789"/>
    <w:rsid w:val="00BF4C32"/>
    <w:rsid w:val="00BF687C"/>
    <w:rsid w:val="00C0000C"/>
    <w:rsid w:val="00C00265"/>
    <w:rsid w:val="00C04472"/>
    <w:rsid w:val="00C0745C"/>
    <w:rsid w:val="00C077FF"/>
    <w:rsid w:val="00C10184"/>
    <w:rsid w:val="00C10BC3"/>
    <w:rsid w:val="00C11846"/>
    <w:rsid w:val="00C11F89"/>
    <w:rsid w:val="00C12B00"/>
    <w:rsid w:val="00C12DDE"/>
    <w:rsid w:val="00C12FA4"/>
    <w:rsid w:val="00C13BFE"/>
    <w:rsid w:val="00C14438"/>
    <w:rsid w:val="00C14602"/>
    <w:rsid w:val="00C154EA"/>
    <w:rsid w:val="00C159B2"/>
    <w:rsid w:val="00C16D52"/>
    <w:rsid w:val="00C174C7"/>
    <w:rsid w:val="00C220DA"/>
    <w:rsid w:val="00C2293A"/>
    <w:rsid w:val="00C237D5"/>
    <w:rsid w:val="00C23889"/>
    <w:rsid w:val="00C243A9"/>
    <w:rsid w:val="00C24EDA"/>
    <w:rsid w:val="00C30483"/>
    <w:rsid w:val="00C3099B"/>
    <w:rsid w:val="00C30C41"/>
    <w:rsid w:val="00C3321B"/>
    <w:rsid w:val="00C33297"/>
    <w:rsid w:val="00C34868"/>
    <w:rsid w:val="00C35E9A"/>
    <w:rsid w:val="00C36875"/>
    <w:rsid w:val="00C37BD8"/>
    <w:rsid w:val="00C409DC"/>
    <w:rsid w:val="00C40B96"/>
    <w:rsid w:val="00C41247"/>
    <w:rsid w:val="00C4449D"/>
    <w:rsid w:val="00C46868"/>
    <w:rsid w:val="00C47A99"/>
    <w:rsid w:val="00C50885"/>
    <w:rsid w:val="00C520AC"/>
    <w:rsid w:val="00C53D16"/>
    <w:rsid w:val="00C53DFC"/>
    <w:rsid w:val="00C54A15"/>
    <w:rsid w:val="00C5565C"/>
    <w:rsid w:val="00C564F9"/>
    <w:rsid w:val="00C57A8E"/>
    <w:rsid w:val="00C605C4"/>
    <w:rsid w:val="00C60D8F"/>
    <w:rsid w:val="00C611EC"/>
    <w:rsid w:val="00C6237A"/>
    <w:rsid w:val="00C62934"/>
    <w:rsid w:val="00C62EA4"/>
    <w:rsid w:val="00C635E0"/>
    <w:rsid w:val="00C6481C"/>
    <w:rsid w:val="00C64835"/>
    <w:rsid w:val="00C648BD"/>
    <w:rsid w:val="00C651CA"/>
    <w:rsid w:val="00C65364"/>
    <w:rsid w:val="00C70EF4"/>
    <w:rsid w:val="00C7120A"/>
    <w:rsid w:val="00C7140E"/>
    <w:rsid w:val="00C746B5"/>
    <w:rsid w:val="00C7548C"/>
    <w:rsid w:val="00C7652D"/>
    <w:rsid w:val="00C778F9"/>
    <w:rsid w:val="00C8001E"/>
    <w:rsid w:val="00C80C08"/>
    <w:rsid w:val="00C80E95"/>
    <w:rsid w:val="00C81F1C"/>
    <w:rsid w:val="00C823CE"/>
    <w:rsid w:val="00C82443"/>
    <w:rsid w:val="00C82561"/>
    <w:rsid w:val="00C82B95"/>
    <w:rsid w:val="00C82F67"/>
    <w:rsid w:val="00C84BB3"/>
    <w:rsid w:val="00C84EA1"/>
    <w:rsid w:val="00C85D0A"/>
    <w:rsid w:val="00C86F7D"/>
    <w:rsid w:val="00C877FB"/>
    <w:rsid w:val="00C9059A"/>
    <w:rsid w:val="00C910D0"/>
    <w:rsid w:val="00C9180C"/>
    <w:rsid w:val="00C91A7E"/>
    <w:rsid w:val="00C92173"/>
    <w:rsid w:val="00C93692"/>
    <w:rsid w:val="00C93749"/>
    <w:rsid w:val="00C93B19"/>
    <w:rsid w:val="00C94CC9"/>
    <w:rsid w:val="00C963D1"/>
    <w:rsid w:val="00C96A5B"/>
    <w:rsid w:val="00C96B61"/>
    <w:rsid w:val="00C972CA"/>
    <w:rsid w:val="00CA03F3"/>
    <w:rsid w:val="00CA24D3"/>
    <w:rsid w:val="00CA3F6C"/>
    <w:rsid w:val="00CA6B3E"/>
    <w:rsid w:val="00CB0596"/>
    <w:rsid w:val="00CB2FE3"/>
    <w:rsid w:val="00CB3D86"/>
    <w:rsid w:val="00CB4074"/>
    <w:rsid w:val="00CB4BFE"/>
    <w:rsid w:val="00CB5CC3"/>
    <w:rsid w:val="00CB6439"/>
    <w:rsid w:val="00CC0A92"/>
    <w:rsid w:val="00CC0B71"/>
    <w:rsid w:val="00CC16A5"/>
    <w:rsid w:val="00CC47F4"/>
    <w:rsid w:val="00CC4928"/>
    <w:rsid w:val="00CC52CA"/>
    <w:rsid w:val="00CC55C1"/>
    <w:rsid w:val="00CC5925"/>
    <w:rsid w:val="00CC5DC8"/>
    <w:rsid w:val="00CC6B5B"/>
    <w:rsid w:val="00CC76D3"/>
    <w:rsid w:val="00CC7F3B"/>
    <w:rsid w:val="00CD160B"/>
    <w:rsid w:val="00CD219B"/>
    <w:rsid w:val="00CD2765"/>
    <w:rsid w:val="00CD3766"/>
    <w:rsid w:val="00CD384F"/>
    <w:rsid w:val="00CD46F5"/>
    <w:rsid w:val="00CD4E93"/>
    <w:rsid w:val="00CD66B6"/>
    <w:rsid w:val="00CD7B47"/>
    <w:rsid w:val="00CE4140"/>
    <w:rsid w:val="00CE6021"/>
    <w:rsid w:val="00CE628E"/>
    <w:rsid w:val="00CE637C"/>
    <w:rsid w:val="00CE6D29"/>
    <w:rsid w:val="00CE7BA8"/>
    <w:rsid w:val="00CE7C72"/>
    <w:rsid w:val="00CE7E94"/>
    <w:rsid w:val="00CF08F2"/>
    <w:rsid w:val="00CF0EA8"/>
    <w:rsid w:val="00CF0FF0"/>
    <w:rsid w:val="00CF1330"/>
    <w:rsid w:val="00CF1942"/>
    <w:rsid w:val="00CF3576"/>
    <w:rsid w:val="00CF3770"/>
    <w:rsid w:val="00CF4328"/>
    <w:rsid w:val="00CF49E0"/>
    <w:rsid w:val="00CF51B0"/>
    <w:rsid w:val="00CF5C30"/>
    <w:rsid w:val="00CF60AB"/>
    <w:rsid w:val="00CF6A24"/>
    <w:rsid w:val="00CF7271"/>
    <w:rsid w:val="00D0089E"/>
    <w:rsid w:val="00D04C23"/>
    <w:rsid w:val="00D05C35"/>
    <w:rsid w:val="00D05C8E"/>
    <w:rsid w:val="00D0681C"/>
    <w:rsid w:val="00D06C31"/>
    <w:rsid w:val="00D070A2"/>
    <w:rsid w:val="00D1146D"/>
    <w:rsid w:val="00D132EC"/>
    <w:rsid w:val="00D13B9B"/>
    <w:rsid w:val="00D1557B"/>
    <w:rsid w:val="00D1570A"/>
    <w:rsid w:val="00D15CDF"/>
    <w:rsid w:val="00D16501"/>
    <w:rsid w:val="00D16B29"/>
    <w:rsid w:val="00D16FF9"/>
    <w:rsid w:val="00D177D6"/>
    <w:rsid w:val="00D2064B"/>
    <w:rsid w:val="00D2074C"/>
    <w:rsid w:val="00D22537"/>
    <w:rsid w:val="00D22FC3"/>
    <w:rsid w:val="00D24905"/>
    <w:rsid w:val="00D24C53"/>
    <w:rsid w:val="00D252E5"/>
    <w:rsid w:val="00D2685C"/>
    <w:rsid w:val="00D26C04"/>
    <w:rsid w:val="00D27D08"/>
    <w:rsid w:val="00D31D11"/>
    <w:rsid w:val="00D32364"/>
    <w:rsid w:val="00D3330A"/>
    <w:rsid w:val="00D35B6D"/>
    <w:rsid w:val="00D374B7"/>
    <w:rsid w:val="00D400E0"/>
    <w:rsid w:val="00D40B80"/>
    <w:rsid w:val="00D40E7D"/>
    <w:rsid w:val="00D430E1"/>
    <w:rsid w:val="00D4349F"/>
    <w:rsid w:val="00D45B84"/>
    <w:rsid w:val="00D46E7E"/>
    <w:rsid w:val="00D46F57"/>
    <w:rsid w:val="00D476EC"/>
    <w:rsid w:val="00D500FC"/>
    <w:rsid w:val="00D51B10"/>
    <w:rsid w:val="00D52163"/>
    <w:rsid w:val="00D5245B"/>
    <w:rsid w:val="00D53DDF"/>
    <w:rsid w:val="00D54AF6"/>
    <w:rsid w:val="00D55853"/>
    <w:rsid w:val="00D563D9"/>
    <w:rsid w:val="00D56627"/>
    <w:rsid w:val="00D5799D"/>
    <w:rsid w:val="00D601C2"/>
    <w:rsid w:val="00D60E8C"/>
    <w:rsid w:val="00D60F13"/>
    <w:rsid w:val="00D6184C"/>
    <w:rsid w:val="00D61CDB"/>
    <w:rsid w:val="00D62327"/>
    <w:rsid w:val="00D624AA"/>
    <w:rsid w:val="00D625DD"/>
    <w:rsid w:val="00D64B1D"/>
    <w:rsid w:val="00D64B67"/>
    <w:rsid w:val="00D64FF8"/>
    <w:rsid w:val="00D657E6"/>
    <w:rsid w:val="00D6603B"/>
    <w:rsid w:val="00D6632A"/>
    <w:rsid w:val="00D67988"/>
    <w:rsid w:val="00D67B06"/>
    <w:rsid w:val="00D704DE"/>
    <w:rsid w:val="00D70EB5"/>
    <w:rsid w:val="00D71380"/>
    <w:rsid w:val="00D71496"/>
    <w:rsid w:val="00D72285"/>
    <w:rsid w:val="00D74EF3"/>
    <w:rsid w:val="00D76055"/>
    <w:rsid w:val="00D76D86"/>
    <w:rsid w:val="00D773DF"/>
    <w:rsid w:val="00D818C9"/>
    <w:rsid w:val="00D824B2"/>
    <w:rsid w:val="00D826F4"/>
    <w:rsid w:val="00D84CEB"/>
    <w:rsid w:val="00D87C83"/>
    <w:rsid w:val="00D91B14"/>
    <w:rsid w:val="00D9299D"/>
    <w:rsid w:val="00D92E04"/>
    <w:rsid w:val="00D9320B"/>
    <w:rsid w:val="00D93881"/>
    <w:rsid w:val="00D94079"/>
    <w:rsid w:val="00D941D8"/>
    <w:rsid w:val="00D95168"/>
    <w:rsid w:val="00DA0AF3"/>
    <w:rsid w:val="00DA1F35"/>
    <w:rsid w:val="00DA2233"/>
    <w:rsid w:val="00DA2764"/>
    <w:rsid w:val="00DA3757"/>
    <w:rsid w:val="00DA466F"/>
    <w:rsid w:val="00DA536D"/>
    <w:rsid w:val="00DA6281"/>
    <w:rsid w:val="00DA664F"/>
    <w:rsid w:val="00DA74D9"/>
    <w:rsid w:val="00DA7C77"/>
    <w:rsid w:val="00DB0B70"/>
    <w:rsid w:val="00DB23F3"/>
    <w:rsid w:val="00DB2814"/>
    <w:rsid w:val="00DB3832"/>
    <w:rsid w:val="00DB3864"/>
    <w:rsid w:val="00DB51B1"/>
    <w:rsid w:val="00DB5256"/>
    <w:rsid w:val="00DB578F"/>
    <w:rsid w:val="00DB6C97"/>
    <w:rsid w:val="00DC111A"/>
    <w:rsid w:val="00DC1788"/>
    <w:rsid w:val="00DC19D9"/>
    <w:rsid w:val="00DC4009"/>
    <w:rsid w:val="00DC424F"/>
    <w:rsid w:val="00DC6972"/>
    <w:rsid w:val="00DD0523"/>
    <w:rsid w:val="00DD156C"/>
    <w:rsid w:val="00DD1E28"/>
    <w:rsid w:val="00DD3670"/>
    <w:rsid w:val="00DD45BE"/>
    <w:rsid w:val="00DD536F"/>
    <w:rsid w:val="00DD5600"/>
    <w:rsid w:val="00DD61D9"/>
    <w:rsid w:val="00DD669E"/>
    <w:rsid w:val="00DD7C89"/>
    <w:rsid w:val="00DE058F"/>
    <w:rsid w:val="00DE362E"/>
    <w:rsid w:val="00DE47F3"/>
    <w:rsid w:val="00DE5A00"/>
    <w:rsid w:val="00DE6196"/>
    <w:rsid w:val="00DE696C"/>
    <w:rsid w:val="00DE7494"/>
    <w:rsid w:val="00DF01D0"/>
    <w:rsid w:val="00DF0573"/>
    <w:rsid w:val="00DF1EC1"/>
    <w:rsid w:val="00DF24D4"/>
    <w:rsid w:val="00DF27C6"/>
    <w:rsid w:val="00DF2E3B"/>
    <w:rsid w:val="00DF2E5E"/>
    <w:rsid w:val="00DF4EE2"/>
    <w:rsid w:val="00DF5EFF"/>
    <w:rsid w:val="00DF6512"/>
    <w:rsid w:val="00DF78ED"/>
    <w:rsid w:val="00E01684"/>
    <w:rsid w:val="00E016BF"/>
    <w:rsid w:val="00E03778"/>
    <w:rsid w:val="00E0657C"/>
    <w:rsid w:val="00E06934"/>
    <w:rsid w:val="00E06BB8"/>
    <w:rsid w:val="00E10FA6"/>
    <w:rsid w:val="00E1477A"/>
    <w:rsid w:val="00E147A0"/>
    <w:rsid w:val="00E1514E"/>
    <w:rsid w:val="00E17888"/>
    <w:rsid w:val="00E20717"/>
    <w:rsid w:val="00E2157C"/>
    <w:rsid w:val="00E2166B"/>
    <w:rsid w:val="00E216AB"/>
    <w:rsid w:val="00E2328E"/>
    <w:rsid w:val="00E235FE"/>
    <w:rsid w:val="00E25EA5"/>
    <w:rsid w:val="00E26460"/>
    <w:rsid w:val="00E26CEE"/>
    <w:rsid w:val="00E27935"/>
    <w:rsid w:val="00E30411"/>
    <w:rsid w:val="00E30863"/>
    <w:rsid w:val="00E30CAD"/>
    <w:rsid w:val="00E31868"/>
    <w:rsid w:val="00E31AD5"/>
    <w:rsid w:val="00E3327F"/>
    <w:rsid w:val="00E3572A"/>
    <w:rsid w:val="00E35898"/>
    <w:rsid w:val="00E36FB5"/>
    <w:rsid w:val="00E374CC"/>
    <w:rsid w:val="00E37587"/>
    <w:rsid w:val="00E37A7F"/>
    <w:rsid w:val="00E401FA"/>
    <w:rsid w:val="00E4116E"/>
    <w:rsid w:val="00E41502"/>
    <w:rsid w:val="00E43E6D"/>
    <w:rsid w:val="00E445CC"/>
    <w:rsid w:val="00E4743A"/>
    <w:rsid w:val="00E50EAE"/>
    <w:rsid w:val="00E51471"/>
    <w:rsid w:val="00E52C84"/>
    <w:rsid w:val="00E55235"/>
    <w:rsid w:val="00E5525A"/>
    <w:rsid w:val="00E55ACA"/>
    <w:rsid w:val="00E56972"/>
    <w:rsid w:val="00E579BC"/>
    <w:rsid w:val="00E57F3F"/>
    <w:rsid w:val="00E60BFB"/>
    <w:rsid w:val="00E61B8B"/>
    <w:rsid w:val="00E62A57"/>
    <w:rsid w:val="00E62C53"/>
    <w:rsid w:val="00E62CBA"/>
    <w:rsid w:val="00E631F1"/>
    <w:rsid w:val="00E656F7"/>
    <w:rsid w:val="00E671A5"/>
    <w:rsid w:val="00E716DA"/>
    <w:rsid w:val="00E719CD"/>
    <w:rsid w:val="00E723D4"/>
    <w:rsid w:val="00E72952"/>
    <w:rsid w:val="00E73B16"/>
    <w:rsid w:val="00E74444"/>
    <w:rsid w:val="00E7491D"/>
    <w:rsid w:val="00E75765"/>
    <w:rsid w:val="00E757B5"/>
    <w:rsid w:val="00E77549"/>
    <w:rsid w:val="00E77F1E"/>
    <w:rsid w:val="00E814BB"/>
    <w:rsid w:val="00E82AF4"/>
    <w:rsid w:val="00E82D0C"/>
    <w:rsid w:val="00E83437"/>
    <w:rsid w:val="00E837D1"/>
    <w:rsid w:val="00E85E62"/>
    <w:rsid w:val="00E905DF"/>
    <w:rsid w:val="00E90EE0"/>
    <w:rsid w:val="00E90FB9"/>
    <w:rsid w:val="00E9361F"/>
    <w:rsid w:val="00E9392B"/>
    <w:rsid w:val="00E93E19"/>
    <w:rsid w:val="00E94EF4"/>
    <w:rsid w:val="00E96900"/>
    <w:rsid w:val="00EA0832"/>
    <w:rsid w:val="00EA1AEF"/>
    <w:rsid w:val="00EA4B82"/>
    <w:rsid w:val="00EA5648"/>
    <w:rsid w:val="00EA56D6"/>
    <w:rsid w:val="00EA5D42"/>
    <w:rsid w:val="00EB031E"/>
    <w:rsid w:val="00EB0377"/>
    <w:rsid w:val="00EB0F55"/>
    <w:rsid w:val="00EB14E4"/>
    <w:rsid w:val="00EB1703"/>
    <w:rsid w:val="00EB1F13"/>
    <w:rsid w:val="00EB2364"/>
    <w:rsid w:val="00EB2818"/>
    <w:rsid w:val="00EB2F40"/>
    <w:rsid w:val="00EB308F"/>
    <w:rsid w:val="00EB3131"/>
    <w:rsid w:val="00EB4826"/>
    <w:rsid w:val="00EB7C61"/>
    <w:rsid w:val="00EC1B9B"/>
    <w:rsid w:val="00EC45B2"/>
    <w:rsid w:val="00EC4669"/>
    <w:rsid w:val="00EC5A59"/>
    <w:rsid w:val="00EC5DCA"/>
    <w:rsid w:val="00EC642B"/>
    <w:rsid w:val="00EC6997"/>
    <w:rsid w:val="00EC7D90"/>
    <w:rsid w:val="00EC7F99"/>
    <w:rsid w:val="00ED065B"/>
    <w:rsid w:val="00ED2B0A"/>
    <w:rsid w:val="00ED3D77"/>
    <w:rsid w:val="00ED4A64"/>
    <w:rsid w:val="00ED4F04"/>
    <w:rsid w:val="00ED4F26"/>
    <w:rsid w:val="00ED576B"/>
    <w:rsid w:val="00ED5BE2"/>
    <w:rsid w:val="00ED6B47"/>
    <w:rsid w:val="00ED768D"/>
    <w:rsid w:val="00ED7748"/>
    <w:rsid w:val="00ED7776"/>
    <w:rsid w:val="00EE0DF2"/>
    <w:rsid w:val="00EE18DC"/>
    <w:rsid w:val="00EE31D1"/>
    <w:rsid w:val="00EE35CB"/>
    <w:rsid w:val="00EE3D0E"/>
    <w:rsid w:val="00EE44DD"/>
    <w:rsid w:val="00EE6E99"/>
    <w:rsid w:val="00EE7A18"/>
    <w:rsid w:val="00EF0B85"/>
    <w:rsid w:val="00EF0E2A"/>
    <w:rsid w:val="00EF207C"/>
    <w:rsid w:val="00EF3A62"/>
    <w:rsid w:val="00EF53F8"/>
    <w:rsid w:val="00F001E9"/>
    <w:rsid w:val="00F00C2D"/>
    <w:rsid w:val="00F01D8E"/>
    <w:rsid w:val="00F02734"/>
    <w:rsid w:val="00F033C0"/>
    <w:rsid w:val="00F03804"/>
    <w:rsid w:val="00F04999"/>
    <w:rsid w:val="00F04AF4"/>
    <w:rsid w:val="00F05DD5"/>
    <w:rsid w:val="00F07141"/>
    <w:rsid w:val="00F07150"/>
    <w:rsid w:val="00F071A7"/>
    <w:rsid w:val="00F10151"/>
    <w:rsid w:val="00F10CF1"/>
    <w:rsid w:val="00F12DE8"/>
    <w:rsid w:val="00F149EB"/>
    <w:rsid w:val="00F15338"/>
    <w:rsid w:val="00F168B1"/>
    <w:rsid w:val="00F16AC7"/>
    <w:rsid w:val="00F16DB1"/>
    <w:rsid w:val="00F16DBD"/>
    <w:rsid w:val="00F17B3E"/>
    <w:rsid w:val="00F20830"/>
    <w:rsid w:val="00F214EB"/>
    <w:rsid w:val="00F22A4B"/>
    <w:rsid w:val="00F23472"/>
    <w:rsid w:val="00F24BE3"/>
    <w:rsid w:val="00F25F69"/>
    <w:rsid w:val="00F2606A"/>
    <w:rsid w:val="00F277DE"/>
    <w:rsid w:val="00F31FDE"/>
    <w:rsid w:val="00F32A22"/>
    <w:rsid w:val="00F32DC1"/>
    <w:rsid w:val="00F32F1F"/>
    <w:rsid w:val="00F34668"/>
    <w:rsid w:val="00F346D5"/>
    <w:rsid w:val="00F35285"/>
    <w:rsid w:val="00F35969"/>
    <w:rsid w:val="00F35AAD"/>
    <w:rsid w:val="00F35AB1"/>
    <w:rsid w:val="00F36BCE"/>
    <w:rsid w:val="00F37AF9"/>
    <w:rsid w:val="00F402B6"/>
    <w:rsid w:val="00F418E4"/>
    <w:rsid w:val="00F445E6"/>
    <w:rsid w:val="00F446CB"/>
    <w:rsid w:val="00F464A3"/>
    <w:rsid w:val="00F47E33"/>
    <w:rsid w:val="00F50AB6"/>
    <w:rsid w:val="00F50C7D"/>
    <w:rsid w:val="00F516B3"/>
    <w:rsid w:val="00F521A1"/>
    <w:rsid w:val="00F52757"/>
    <w:rsid w:val="00F52D80"/>
    <w:rsid w:val="00F52F82"/>
    <w:rsid w:val="00F5378F"/>
    <w:rsid w:val="00F54141"/>
    <w:rsid w:val="00F556CE"/>
    <w:rsid w:val="00F5637C"/>
    <w:rsid w:val="00F57499"/>
    <w:rsid w:val="00F64948"/>
    <w:rsid w:val="00F658DA"/>
    <w:rsid w:val="00F65F64"/>
    <w:rsid w:val="00F66115"/>
    <w:rsid w:val="00F70072"/>
    <w:rsid w:val="00F71751"/>
    <w:rsid w:val="00F74FDC"/>
    <w:rsid w:val="00F7643D"/>
    <w:rsid w:val="00F767C6"/>
    <w:rsid w:val="00F76BCD"/>
    <w:rsid w:val="00F776B9"/>
    <w:rsid w:val="00F8008B"/>
    <w:rsid w:val="00F80994"/>
    <w:rsid w:val="00F8114D"/>
    <w:rsid w:val="00F8139F"/>
    <w:rsid w:val="00F818B1"/>
    <w:rsid w:val="00F82E09"/>
    <w:rsid w:val="00F85E6F"/>
    <w:rsid w:val="00F868DB"/>
    <w:rsid w:val="00F86993"/>
    <w:rsid w:val="00F874DC"/>
    <w:rsid w:val="00F912FD"/>
    <w:rsid w:val="00F933A6"/>
    <w:rsid w:val="00F933BD"/>
    <w:rsid w:val="00F93AA0"/>
    <w:rsid w:val="00F9683A"/>
    <w:rsid w:val="00FA0820"/>
    <w:rsid w:val="00FA135E"/>
    <w:rsid w:val="00FA148A"/>
    <w:rsid w:val="00FA1B63"/>
    <w:rsid w:val="00FA21B8"/>
    <w:rsid w:val="00FA44B0"/>
    <w:rsid w:val="00FA4575"/>
    <w:rsid w:val="00FA53F8"/>
    <w:rsid w:val="00FA58A0"/>
    <w:rsid w:val="00FA725D"/>
    <w:rsid w:val="00FA752A"/>
    <w:rsid w:val="00FA7F90"/>
    <w:rsid w:val="00FB0175"/>
    <w:rsid w:val="00FB04A4"/>
    <w:rsid w:val="00FB05D7"/>
    <w:rsid w:val="00FB070C"/>
    <w:rsid w:val="00FB12DF"/>
    <w:rsid w:val="00FB139B"/>
    <w:rsid w:val="00FB160B"/>
    <w:rsid w:val="00FB2876"/>
    <w:rsid w:val="00FB2A89"/>
    <w:rsid w:val="00FB4DA2"/>
    <w:rsid w:val="00FB7464"/>
    <w:rsid w:val="00FB7A69"/>
    <w:rsid w:val="00FB7B00"/>
    <w:rsid w:val="00FC10BF"/>
    <w:rsid w:val="00FC1117"/>
    <w:rsid w:val="00FC1740"/>
    <w:rsid w:val="00FC24A6"/>
    <w:rsid w:val="00FC5333"/>
    <w:rsid w:val="00FC5C28"/>
    <w:rsid w:val="00FC6535"/>
    <w:rsid w:val="00FC7607"/>
    <w:rsid w:val="00FD061B"/>
    <w:rsid w:val="00FD25C6"/>
    <w:rsid w:val="00FD397F"/>
    <w:rsid w:val="00FD57E6"/>
    <w:rsid w:val="00FD5C64"/>
    <w:rsid w:val="00FD6B80"/>
    <w:rsid w:val="00FE04E5"/>
    <w:rsid w:val="00FE0692"/>
    <w:rsid w:val="00FE09FD"/>
    <w:rsid w:val="00FE2896"/>
    <w:rsid w:val="00FE3CE3"/>
    <w:rsid w:val="00FE4C27"/>
    <w:rsid w:val="00FE602A"/>
    <w:rsid w:val="00FE6069"/>
    <w:rsid w:val="00FE649E"/>
    <w:rsid w:val="00FF25E6"/>
    <w:rsid w:val="00FF3479"/>
    <w:rsid w:val="00FF48DD"/>
    <w:rsid w:val="00FF4979"/>
    <w:rsid w:val="00FF4F2B"/>
    <w:rsid w:val="00FF63D5"/>
    <w:rsid w:val="00FF6ABF"/>
    <w:rsid w:val="012F3AD0"/>
    <w:rsid w:val="025C4969"/>
    <w:rsid w:val="0273258E"/>
    <w:rsid w:val="029E0CDB"/>
    <w:rsid w:val="035A678E"/>
    <w:rsid w:val="03773283"/>
    <w:rsid w:val="03A11C9E"/>
    <w:rsid w:val="03B879E7"/>
    <w:rsid w:val="046248DD"/>
    <w:rsid w:val="049735F6"/>
    <w:rsid w:val="04C64E6C"/>
    <w:rsid w:val="05426DEB"/>
    <w:rsid w:val="056C191F"/>
    <w:rsid w:val="06AB0F7C"/>
    <w:rsid w:val="06BF6BED"/>
    <w:rsid w:val="07032BB0"/>
    <w:rsid w:val="070769B4"/>
    <w:rsid w:val="071B1B17"/>
    <w:rsid w:val="08135F58"/>
    <w:rsid w:val="0874698D"/>
    <w:rsid w:val="088149FE"/>
    <w:rsid w:val="08A300BA"/>
    <w:rsid w:val="0B346F79"/>
    <w:rsid w:val="0BF10993"/>
    <w:rsid w:val="0D280DA5"/>
    <w:rsid w:val="0F3E4514"/>
    <w:rsid w:val="11450E7B"/>
    <w:rsid w:val="12F41825"/>
    <w:rsid w:val="13465DAC"/>
    <w:rsid w:val="13627AFD"/>
    <w:rsid w:val="141A663B"/>
    <w:rsid w:val="143A6B83"/>
    <w:rsid w:val="144A6150"/>
    <w:rsid w:val="15D32F45"/>
    <w:rsid w:val="16323029"/>
    <w:rsid w:val="16FF7D6A"/>
    <w:rsid w:val="1A8522A1"/>
    <w:rsid w:val="1B4829ED"/>
    <w:rsid w:val="1C133FD3"/>
    <w:rsid w:val="1D1A2045"/>
    <w:rsid w:val="1D736B1A"/>
    <w:rsid w:val="1DA82407"/>
    <w:rsid w:val="1E020A53"/>
    <w:rsid w:val="1E6B3DE8"/>
    <w:rsid w:val="1E996BC3"/>
    <w:rsid w:val="203C4A4A"/>
    <w:rsid w:val="21703D3E"/>
    <w:rsid w:val="21920158"/>
    <w:rsid w:val="222F3A62"/>
    <w:rsid w:val="225E4DD1"/>
    <w:rsid w:val="22877C26"/>
    <w:rsid w:val="247E2C25"/>
    <w:rsid w:val="24FB669F"/>
    <w:rsid w:val="25E95A7E"/>
    <w:rsid w:val="26230820"/>
    <w:rsid w:val="26D7485F"/>
    <w:rsid w:val="27A51173"/>
    <w:rsid w:val="29543F45"/>
    <w:rsid w:val="2A835B6A"/>
    <w:rsid w:val="2A997AF3"/>
    <w:rsid w:val="2AC74991"/>
    <w:rsid w:val="2B8C3E6A"/>
    <w:rsid w:val="2CB25B52"/>
    <w:rsid w:val="2DAB3FE7"/>
    <w:rsid w:val="2EE91ADF"/>
    <w:rsid w:val="2F5C63B6"/>
    <w:rsid w:val="2F6A5F98"/>
    <w:rsid w:val="330C0B43"/>
    <w:rsid w:val="33A51F6D"/>
    <w:rsid w:val="33F77870"/>
    <w:rsid w:val="34B10D56"/>
    <w:rsid w:val="35EA3E17"/>
    <w:rsid w:val="369D6723"/>
    <w:rsid w:val="36C4095C"/>
    <w:rsid w:val="37563E6B"/>
    <w:rsid w:val="38675A43"/>
    <w:rsid w:val="39802A1F"/>
    <w:rsid w:val="3A853851"/>
    <w:rsid w:val="3B3A5602"/>
    <w:rsid w:val="3CF8135F"/>
    <w:rsid w:val="3D07137F"/>
    <w:rsid w:val="3DA17D9C"/>
    <w:rsid w:val="3F3B73AB"/>
    <w:rsid w:val="3F674973"/>
    <w:rsid w:val="3F6F1681"/>
    <w:rsid w:val="4001677D"/>
    <w:rsid w:val="418036D2"/>
    <w:rsid w:val="41EA1493"/>
    <w:rsid w:val="424924DD"/>
    <w:rsid w:val="42836C0F"/>
    <w:rsid w:val="43081455"/>
    <w:rsid w:val="438A4ADE"/>
    <w:rsid w:val="438F6C4E"/>
    <w:rsid w:val="46A75BA4"/>
    <w:rsid w:val="4899407A"/>
    <w:rsid w:val="48D158C7"/>
    <w:rsid w:val="49B636D1"/>
    <w:rsid w:val="49BC6688"/>
    <w:rsid w:val="4A0F5F3A"/>
    <w:rsid w:val="4AD11BE1"/>
    <w:rsid w:val="4AEF64B9"/>
    <w:rsid w:val="4B7556B3"/>
    <w:rsid w:val="4B867F1B"/>
    <w:rsid w:val="4BB11BBF"/>
    <w:rsid w:val="4BC87BB3"/>
    <w:rsid w:val="4BF07D91"/>
    <w:rsid w:val="4BF70A34"/>
    <w:rsid w:val="4C742EFD"/>
    <w:rsid w:val="4ECD40AD"/>
    <w:rsid w:val="4FB828DE"/>
    <w:rsid w:val="512F0B99"/>
    <w:rsid w:val="52897275"/>
    <w:rsid w:val="551875B7"/>
    <w:rsid w:val="555869E7"/>
    <w:rsid w:val="57315742"/>
    <w:rsid w:val="57A91E31"/>
    <w:rsid w:val="57C147CD"/>
    <w:rsid w:val="57DA53F5"/>
    <w:rsid w:val="5955323E"/>
    <w:rsid w:val="59866833"/>
    <w:rsid w:val="59F1740B"/>
    <w:rsid w:val="5A3C1755"/>
    <w:rsid w:val="5A706581"/>
    <w:rsid w:val="5AA24261"/>
    <w:rsid w:val="5AB13388"/>
    <w:rsid w:val="5B922527"/>
    <w:rsid w:val="5C142F3C"/>
    <w:rsid w:val="5FFF4A50"/>
    <w:rsid w:val="62F87114"/>
    <w:rsid w:val="62FA20CA"/>
    <w:rsid w:val="63457D95"/>
    <w:rsid w:val="64BF0603"/>
    <w:rsid w:val="657A0A19"/>
    <w:rsid w:val="657A6506"/>
    <w:rsid w:val="66403E3E"/>
    <w:rsid w:val="69164798"/>
    <w:rsid w:val="6A62748D"/>
    <w:rsid w:val="6C8824A7"/>
    <w:rsid w:val="6E841D9E"/>
    <w:rsid w:val="6F0B77CE"/>
    <w:rsid w:val="6F3516F0"/>
    <w:rsid w:val="6F525DFE"/>
    <w:rsid w:val="6FB25BCF"/>
    <w:rsid w:val="70CC2E15"/>
    <w:rsid w:val="71552E50"/>
    <w:rsid w:val="71BC57F8"/>
    <w:rsid w:val="73815756"/>
    <w:rsid w:val="73AF0429"/>
    <w:rsid w:val="75506A71"/>
    <w:rsid w:val="75BA46C4"/>
    <w:rsid w:val="78B02C8E"/>
    <w:rsid w:val="79894B12"/>
    <w:rsid w:val="7A13262E"/>
    <w:rsid w:val="7A5F5A2A"/>
    <w:rsid w:val="7B1F0D0A"/>
    <w:rsid w:val="7C020ED8"/>
    <w:rsid w:val="7C3C4D9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qFormat="1"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styleId="2">
    <w:name w:val="heading 1"/>
    <w:basedOn w:val="1"/>
    <w:next w:val="1"/>
    <w:link w:val="49"/>
    <w:qFormat/>
    <w:uiPriority w:val="0"/>
    <w:pPr>
      <w:keepNext/>
      <w:jc w:val="right"/>
      <w:outlineLvl w:val="0"/>
    </w:pPr>
    <w:rPr>
      <w:rFonts w:ascii="黑体" w:eastAsia="黑体"/>
      <w:b/>
      <w:sz w:val="21"/>
    </w:rPr>
  </w:style>
  <w:style w:type="paragraph" w:styleId="3">
    <w:name w:val="heading 2"/>
    <w:basedOn w:val="1"/>
    <w:next w:val="1"/>
    <w:link w:val="50"/>
    <w:qFormat/>
    <w:uiPriority w:val="0"/>
    <w:pPr>
      <w:keepNext/>
      <w:keepLines/>
      <w:numPr>
        <w:ilvl w:val="0"/>
        <w:numId w:val="1"/>
      </w:numPr>
      <w:adjustRightInd/>
      <w:spacing w:before="260" w:after="260" w:line="416" w:lineRule="auto"/>
      <w:jc w:val="both"/>
      <w:textAlignment w:val="auto"/>
      <w:outlineLvl w:val="1"/>
    </w:pPr>
    <w:rPr>
      <w:rFonts w:ascii="Arial" w:hAnsi="Arial" w:eastAsia="黑体"/>
      <w:b/>
      <w:bCs/>
      <w:kern w:val="2"/>
      <w:sz w:val="32"/>
      <w:szCs w:val="32"/>
    </w:rPr>
  </w:style>
  <w:style w:type="paragraph" w:styleId="4">
    <w:name w:val="heading 3"/>
    <w:basedOn w:val="1"/>
    <w:next w:val="1"/>
    <w:link w:val="51"/>
    <w:qFormat/>
    <w:uiPriority w:val="0"/>
    <w:pPr>
      <w:keepNext/>
      <w:keepLines/>
      <w:numPr>
        <w:ilvl w:val="1"/>
        <w:numId w:val="2"/>
      </w:numPr>
      <w:adjustRightInd/>
      <w:spacing w:before="260" w:after="260" w:line="416" w:lineRule="auto"/>
      <w:jc w:val="both"/>
      <w:textAlignment w:val="auto"/>
      <w:outlineLvl w:val="2"/>
    </w:pPr>
    <w:rPr>
      <w:rFonts w:ascii="Times New Roman"/>
      <w:b/>
      <w:bCs/>
      <w:kern w:val="2"/>
      <w:sz w:val="32"/>
      <w:szCs w:val="32"/>
    </w:rPr>
  </w:style>
  <w:style w:type="paragraph" w:styleId="5">
    <w:name w:val="heading 4"/>
    <w:basedOn w:val="1"/>
    <w:next w:val="1"/>
    <w:link w:val="52"/>
    <w:qFormat/>
    <w:uiPriority w:val="0"/>
    <w:pPr>
      <w:keepNext/>
      <w:keepLines/>
      <w:numPr>
        <w:ilvl w:val="2"/>
        <w:numId w:val="2"/>
      </w:numPr>
      <w:adjustRightInd/>
      <w:spacing w:before="280" w:after="290" w:line="376" w:lineRule="auto"/>
      <w:jc w:val="both"/>
      <w:textAlignment w:val="auto"/>
      <w:outlineLvl w:val="3"/>
    </w:pPr>
    <w:rPr>
      <w:rFonts w:ascii="Arial" w:hAnsi="Arial" w:eastAsia="黑体"/>
      <w:b/>
      <w:bCs/>
      <w:kern w:val="2"/>
      <w:sz w:val="28"/>
      <w:szCs w:val="28"/>
    </w:rPr>
  </w:style>
  <w:style w:type="paragraph" w:styleId="6">
    <w:name w:val="heading 5"/>
    <w:basedOn w:val="1"/>
    <w:next w:val="1"/>
    <w:link w:val="53"/>
    <w:qFormat/>
    <w:uiPriority w:val="0"/>
    <w:pPr>
      <w:keepNext/>
      <w:keepLines/>
      <w:numPr>
        <w:ilvl w:val="3"/>
        <w:numId w:val="2"/>
      </w:numPr>
      <w:spacing w:before="280" w:after="290" w:line="376" w:lineRule="atLeast"/>
      <w:outlineLvl w:val="4"/>
    </w:pPr>
    <w:rPr>
      <w:b/>
      <w:bCs/>
      <w:sz w:val="28"/>
      <w:szCs w:val="28"/>
    </w:rPr>
  </w:style>
  <w:style w:type="paragraph" w:styleId="7">
    <w:name w:val="heading 6"/>
    <w:basedOn w:val="1"/>
    <w:next w:val="1"/>
    <w:link w:val="54"/>
    <w:qFormat/>
    <w:uiPriority w:val="0"/>
    <w:pPr>
      <w:keepNext/>
      <w:keepLines/>
      <w:widowControl/>
      <w:tabs>
        <w:tab w:val="left" w:pos="1440"/>
      </w:tabs>
      <w:adjustRightInd/>
      <w:spacing w:before="240" w:after="64" w:line="320" w:lineRule="auto"/>
      <w:ind w:left="1152" w:hanging="1152"/>
      <w:textAlignment w:val="auto"/>
      <w:outlineLvl w:val="5"/>
    </w:pPr>
    <w:rPr>
      <w:rFonts w:ascii="Arial" w:hAnsi="Arial" w:eastAsia="黑体"/>
      <w:b/>
      <w:bCs/>
      <w:szCs w:val="24"/>
    </w:rPr>
  </w:style>
  <w:style w:type="paragraph" w:styleId="8">
    <w:name w:val="heading 7"/>
    <w:basedOn w:val="1"/>
    <w:next w:val="1"/>
    <w:link w:val="55"/>
    <w:qFormat/>
    <w:uiPriority w:val="0"/>
    <w:pPr>
      <w:keepNext/>
      <w:keepLines/>
      <w:widowControl/>
      <w:tabs>
        <w:tab w:val="left" w:pos="2520"/>
      </w:tabs>
      <w:adjustRightInd/>
      <w:spacing w:before="240" w:after="64" w:line="320" w:lineRule="auto"/>
      <w:ind w:left="1296" w:hanging="1296"/>
      <w:textAlignment w:val="auto"/>
      <w:outlineLvl w:val="6"/>
    </w:pPr>
    <w:rPr>
      <w:rFonts w:ascii="Times New Roman"/>
      <w:b/>
      <w:bCs/>
      <w:szCs w:val="24"/>
    </w:rPr>
  </w:style>
  <w:style w:type="paragraph" w:styleId="9">
    <w:name w:val="heading 8"/>
    <w:basedOn w:val="1"/>
    <w:next w:val="1"/>
    <w:link w:val="56"/>
    <w:qFormat/>
    <w:uiPriority w:val="0"/>
    <w:pPr>
      <w:keepNext/>
      <w:keepLines/>
      <w:widowControl/>
      <w:tabs>
        <w:tab w:val="left" w:pos="1440"/>
      </w:tabs>
      <w:adjustRightInd/>
      <w:spacing w:before="240" w:after="64" w:line="320" w:lineRule="auto"/>
      <w:ind w:left="1440" w:hanging="1440"/>
      <w:textAlignment w:val="auto"/>
      <w:outlineLvl w:val="7"/>
    </w:pPr>
    <w:rPr>
      <w:rFonts w:ascii="Arial" w:hAnsi="Arial" w:eastAsia="黑体"/>
      <w:szCs w:val="24"/>
    </w:rPr>
  </w:style>
  <w:style w:type="paragraph" w:styleId="10">
    <w:name w:val="heading 9"/>
    <w:basedOn w:val="1"/>
    <w:next w:val="1"/>
    <w:link w:val="57"/>
    <w:qFormat/>
    <w:uiPriority w:val="0"/>
    <w:pPr>
      <w:keepNext/>
      <w:keepLines/>
      <w:widowControl/>
      <w:tabs>
        <w:tab w:val="left" w:pos="1584"/>
      </w:tabs>
      <w:adjustRightInd/>
      <w:spacing w:before="240" w:after="64" w:line="320" w:lineRule="auto"/>
      <w:ind w:left="1584" w:hanging="1584"/>
      <w:textAlignment w:val="auto"/>
      <w:outlineLvl w:val="8"/>
    </w:pPr>
    <w:rPr>
      <w:rFonts w:ascii="Arial" w:hAnsi="Arial" w:eastAsia="黑体"/>
      <w:sz w:val="21"/>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adjustRightInd/>
      <w:spacing w:line="240" w:lineRule="auto"/>
      <w:ind w:left="2520" w:leftChars="1200"/>
      <w:jc w:val="both"/>
      <w:textAlignment w:val="auto"/>
    </w:pPr>
    <w:rPr>
      <w:rFonts w:ascii="Calibri" w:hAnsi="Calibri"/>
      <w:kern w:val="2"/>
      <w:sz w:val="21"/>
      <w:szCs w:val="22"/>
    </w:rPr>
  </w:style>
  <w:style w:type="paragraph" w:styleId="12">
    <w:name w:val="Normal Indent"/>
    <w:basedOn w:val="1"/>
    <w:qFormat/>
    <w:uiPriority w:val="0"/>
    <w:pPr>
      <w:adjustRightInd/>
      <w:spacing w:line="240" w:lineRule="auto"/>
      <w:ind w:firstLine="420" w:firstLineChars="200"/>
      <w:jc w:val="both"/>
      <w:textAlignment w:val="auto"/>
    </w:pPr>
    <w:rPr>
      <w:rFonts w:ascii="Times New Roman"/>
      <w:kern w:val="2"/>
      <w:sz w:val="21"/>
    </w:rPr>
  </w:style>
  <w:style w:type="paragraph" w:styleId="13">
    <w:name w:val="caption"/>
    <w:basedOn w:val="1"/>
    <w:next w:val="1"/>
    <w:qFormat/>
    <w:uiPriority w:val="0"/>
    <w:pPr>
      <w:spacing w:before="152" w:after="160"/>
    </w:pPr>
    <w:rPr>
      <w:rFonts w:ascii="Arial" w:hAnsi="Arial" w:eastAsia="黑体"/>
    </w:rPr>
  </w:style>
  <w:style w:type="paragraph" w:styleId="14">
    <w:name w:val="Document Map"/>
    <w:basedOn w:val="1"/>
    <w:link w:val="65"/>
    <w:qFormat/>
    <w:uiPriority w:val="0"/>
    <w:rPr>
      <w:sz w:val="18"/>
      <w:szCs w:val="18"/>
    </w:rPr>
  </w:style>
  <w:style w:type="paragraph" w:styleId="15">
    <w:name w:val="annotation text"/>
    <w:basedOn w:val="1"/>
    <w:link w:val="63"/>
    <w:qFormat/>
    <w:uiPriority w:val="0"/>
  </w:style>
  <w:style w:type="paragraph" w:styleId="16">
    <w:name w:val="Body Text 3"/>
    <w:basedOn w:val="1"/>
    <w:link w:val="89"/>
    <w:qFormat/>
    <w:uiPriority w:val="0"/>
    <w:pPr>
      <w:spacing w:line="360" w:lineRule="auto"/>
    </w:pPr>
    <w:rPr>
      <w:rFonts w:hAnsi="宋体"/>
      <w:b/>
    </w:rPr>
  </w:style>
  <w:style w:type="paragraph" w:styleId="17">
    <w:name w:val="Body Text"/>
    <w:basedOn w:val="1"/>
    <w:link w:val="93"/>
    <w:qFormat/>
    <w:uiPriority w:val="0"/>
    <w:pPr>
      <w:spacing w:line="240" w:lineRule="auto"/>
      <w:ind w:right="-120"/>
    </w:pPr>
    <w:rPr>
      <w:rFonts w:ascii="幼圆" w:eastAsia="幼圆"/>
    </w:rPr>
  </w:style>
  <w:style w:type="paragraph" w:styleId="18">
    <w:name w:val="Body Text Indent"/>
    <w:basedOn w:val="1"/>
    <w:link w:val="85"/>
    <w:qFormat/>
    <w:uiPriority w:val="0"/>
    <w:pPr>
      <w:spacing w:line="360" w:lineRule="auto"/>
      <w:ind w:firstLine="492"/>
    </w:pPr>
  </w:style>
  <w:style w:type="paragraph" w:styleId="19">
    <w:name w:val="Block Text"/>
    <w:basedOn w:val="1"/>
    <w:qFormat/>
    <w:uiPriority w:val="0"/>
    <w:pPr>
      <w:spacing w:line="240" w:lineRule="auto"/>
      <w:ind w:left="420" w:right="33"/>
    </w:pPr>
    <w:rPr>
      <w:rFonts w:ascii="Times New Roman"/>
    </w:rPr>
  </w:style>
  <w:style w:type="paragraph" w:styleId="20">
    <w:name w:val="toc 5"/>
    <w:basedOn w:val="1"/>
    <w:next w:val="1"/>
    <w:unhideWhenUsed/>
    <w:qFormat/>
    <w:uiPriority w:val="39"/>
    <w:pPr>
      <w:adjustRightInd/>
      <w:spacing w:line="240" w:lineRule="auto"/>
      <w:ind w:left="1680" w:leftChars="800"/>
      <w:jc w:val="both"/>
      <w:textAlignment w:val="auto"/>
    </w:pPr>
    <w:rPr>
      <w:rFonts w:ascii="Calibri" w:hAnsi="Calibri"/>
      <w:kern w:val="2"/>
      <w:sz w:val="21"/>
      <w:szCs w:val="22"/>
    </w:rPr>
  </w:style>
  <w:style w:type="paragraph" w:styleId="21">
    <w:name w:val="toc 3"/>
    <w:basedOn w:val="1"/>
    <w:next w:val="1"/>
    <w:qFormat/>
    <w:uiPriority w:val="39"/>
    <w:pPr>
      <w:tabs>
        <w:tab w:val="left" w:pos="1680"/>
        <w:tab w:val="right" w:leader="dot" w:pos="9345"/>
      </w:tabs>
      <w:ind w:left="960" w:leftChars="400"/>
    </w:pPr>
    <w:rPr>
      <w:rFonts w:hAnsi="宋体"/>
      <w:b/>
      <w:sz w:val="21"/>
    </w:rPr>
  </w:style>
  <w:style w:type="paragraph" w:styleId="22">
    <w:name w:val="Plain Text"/>
    <w:basedOn w:val="1"/>
    <w:link w:val="66"/>
    <w:qFormat/>
    <w:uiPriority w:val="99"/>
    <w:pPr>
      <w:adjustRightInd/>
      <w:spacing w:line="240" w:lineRule="auto"/>
      <w:jc w:val="both"/>
      <w:textAlignment w:val="auto"/>
    </w:pPr>
    <w:rPr>
      <w:rFonts w:hAnsi="Courier New"/>
      <w:kern w:val="2"/>
      <w:sz w:val="21"/>
    </w:rPr>
  </w:style>
  <w:style w:type="paragraph" w:styleId="23">
    <w:name w:val="toc 8"/>
    <w:basedOn w:val="1"/>
    <w:next w:val="1"/>
    <w:unhideWhenUsed/>
    <w:qFormat/>
    <w:uiPriority w:val="39"/>
    <w:pPr>
      <w:adjustRightInd/>
      <w:spacing w:line="240" w:lineRule="auto"/>
      <w:ind w:left="2940" w:leftChars="1400"/>
      <w:jc w:val="both"/>
      <w:textAlignment w:val="auto"/>
    </w:pPr>
    <w:rPr>
      <w:rFonts w:ascii="Calibri" w:hAnsi="Calibri"/>
      <w:kern w:val="2"/>
      <w:sz w:val="21"/>
      <w:szCs w:val="22"/>
    </w:rPr>
  </w:style>
  <w:style w:type="paragraph" w:styleId="24">
    <w:name w:val="Date"/>
    <w:basedOn w:val="1"/>
    <w:next w:val="1"/>
    <w:link w:val="60"/>
    <w:qFormat/>
    <w:uiPriority w:val="0"/>
    <w:pPr>
      <w:jc w:val="both"/>
    </w:pPr>
  </w:style>
  <w:style w:type="paragraph" w:styleId="25">
    <w:name w:val="Body Text Indent 2"/>
    <w:basedOn w:val="1"/>
    <w:link w:val="90"/>
    <w:qFormat/>
    <w:uiPriority w:val="0"/>
    <w:pPr>
      <w:adjustRightInd/>
      <w:spacing w:line="240" w:lineRule="auto"/>
      <w:ind w:firstLine="560" w:firstLineChars="200"/>
      <w:jc w:val="both"/>
      <w:textAlignment w:val="auto"/>
    </w:pPr>
    <w:rPr>
      <w:rFonts w:hAnsi="宋体"/>
      <w:kern w:val="2"/>
      <w:sz w:val="28"/>
      <w:szCs w:val="24"/>
    </w:rPr>
  </w:style>
  <w:style w:type="paragraph" w:styleId="26">
    <w:name w:val="Balloon Text"/>
    <w:basedOn w:val="1"/>
    <w:link w:val="87"/>
    <w:qFormat/>
    <w:uiPriority w:val="0"/>
    <w:rPr>
      <w:sz w:val="18"/>
      <w:szCs w:val="18"/>
    </w:rPr>
  </w:style>
  <w:style w:type="paragraph" w:styleId="27">
    <w:name w:val="footer"/>
    <w:basedOn w:val="1"/>
    <w:link w:val="59"/>
    <w:qFormat/>
    <w:uiPriority w:val="99"/>
    <w:pPr>
      <w:tabs>
        <w:tab w:val="center" w:pos="4153"/>
        <w:tab w:val="right" w:pos="8306"/>
      </w:tabs>
      <w:spacing w:line="240" w:lineRule="atLeast"/>
    </w:pPr>
    <w:rPr>
      <w:sz w:val="18"/>
    </w:rPr>
  </w:style>
  <w:style w:type="paragraph" w:styleId="28">
    <w:name w:val="header"/>
    <w:basedOn w:val="1"/>
    <w:link w:val="58"/>
    <w:qFormat/>
    <w:uiPriority w:val="0"/>
    <w:pPr>
      <w:pBdr>
        <w:bottom w:val="single" w:color="auto" w:sz="6" w:space="1"/>
      </w:pBdr>
      <w:tabs>
        <w:tab w:val="center" w:pos="4153"/>
        <w:tab w:val="right" w:pos="8306"/>
      </w:tabs>
      <w:spacing w:line="240" w:lineRule="atLeast"/>
      <w:jc w:val="center"/>
    </w:pPr>
    <w:rPr>
      <w:sz w:val="18"/>
    </w:rPr>
  </w:style>
  <w:style w:type="paragraph" w:styleId="29">
    <w:name w:val="toc 1"/>
    <w:basedOn w:val="1"/>
    <w:next w:val="1"/>
    <w:link w:val="101"/>
    <w:qFormat/>
    <w:uiPriority w:val="39"/>
    <w:pPr>
      <w:tabs>
        <w:tab w:val="right" w:leader="dot" w:pos="9072"/>
      </w:tabs>
      <w:spacing w:line="360" w:lineRule="auto"/>
      <w:jc w:val="both"/>
    </w:pPr>
    <w:rPr>
      <w:b/>
    </w:rPr>
  </w:style>
  <w:style w:type="paragraph" w:styleId="30">
    <w:name w:val="toc 4"/>
    <w:basedOn w:val="1"/>
    <w:next w:val="1"/>
    <w:unhideWhenUsed/>
    <w:qFormat/>
    <w:uiPriority w:val="39"/>
    <w:pPr>
      <w:adjustRightInd/>
      <w:spacing w:line="240" w:lineRule="auto"/>
      <w:ind w:left="1260" w:leftChars="600"/>
      <w:jc w:val="both"/>
      <w:textAlignment w:val="auto"/>
    </w:pPr>
    <w:rPr>
      <w:rFonts w:ascii="Calibri" w:hAnsi="Calibri"/>
      <w:kern w:val="2"/>
      <w:sz w:val="21"/>
      <w:szCs w:val="22"/>
    </w:rPr>
  </w:style>
  <w:style w:type="paragraph" w:styleId="31">
    <w:name w:val="toc 6"/>
    <w:basedOn w:val="1"/>
    <w:next w:val="1"/>
    <w:unhideWhenUsed/>
    <w:qFormat/>
    <w:uiPriority w:val="39"/>
    <w:pPr>
      <w:adjustRightInd/>
      <w:spacing w:line="240" w:lineRule="auto"/>
      <w:ind w:left="2100" w:leftChars="1000"/>
      <w:jc w:val="both"/>
      <w:textAlignment w:val="auto"/>
    </w:pPr>
    <w:rPr>
      <w:rFonts w:ascii="Calibri" w:hAnsi="Calibri"/>
      <w:kern w:val="2"/>
      <w:sz w:val="21"/>
      <w:szCs w:val="22"/>
    </w:rPr>
  </w:style>
  <w:style w:type="paragraph" w:styleId="32">
    <w:name w:val="Body Text Indent 3"/>
    <w:basedOn w:val="1"/>
    <w:link w:val="91"/>
    <w:qFormat/>
    <w:uiPriority w:val="0"/>
    <w:pPr>
      <w:ind w:firstLine="560" w:firstLineChars="200"/>
    </w:pPr>
    <w:rPr>
      <w:rFonts w:hAnsi="宋体"/>
      <w:sz w:val="28"/>
    </w:rPr>
  </w:style>
  <w:style w:type="paragraph" w:styleId="33">
    <w:name w:val="toc 2"/>
    <w:basedOn w:val="1"/>
    <w:next w:val="1"/>
    <w:qFormat/>
    <w:uiPriority w:val="39"/>
    <w:pPr>
      <w:tabs>
        <w:tab w:val="left" w:pos="993"/>
        <w:tab w:val="right" w:leader="dot" w:pos="9072"/>
      </w:tabs>
      <w:ind w:left="1"/>
    </w:pPr>
  </w:style>
  <w:style w:type="paragraph" w:styleId="34">
    <w:name w:val="toc 9"/>
    <w:basedOn w:val="1"/>
    <w:next w:val="1"/>
    <w:unhideWhenUsed/>
    <w:qFormat/>
    <w:uiPriority w:val="39"/>
    <w:pPr>
      <w:adjustRightInd/>
      <w:spacing w:line="240" w:lineRule="auto"/>
      <w:ind w:left="3360" w:leftChars="1600"/>
      <w:jc w:val="both"/>
      <w:textAlignment w:val="auto"/>
    </w:pPr>
    <w:rPr>
      <w:rFonts w:ascii="Calibri" w:hAnsi="Calibri"/>
      <w:kern w:val="2"/>
      <w:sz w:val="21"/>
      <w:szCs w:val="22"/>
    </w:rPr>
  </w:style>
  <w:style w:type="paragraph" w:styleId="35">
    <w:name w:val="Body Text 2"/>
    <w:basedOn w:val="1"/>
    <w:link w:val="88"/>
    <w:qFormat/>
    <w:uiPriority w:val="0"/>
    <w:pPr>
      <w:adjustRightInd/>
      <w:spacing w:line="360" w:lineRule="auto"/>
      <w:jc w:val="both"/>
      <w:textAlignment w:val="auto"/>
    </w:pPr>
    <w:rPr>
      <w:rFonts w:hAnsi="宋体"/>
      <w:color w:val="000000"/>
      <w:kern w:val="2"/>
      <w:sz w:val="28"/>
    </w:rPr>
  </w:style>
  <w:style w:type="paragraph" w:styleId="36">
    <w:name w:val="Normal (Web)"/>
    <w:basedOn w:val="1"/>
    <w:qFormat/>
    <w:uiPriority w:val="0"/>
    <w:pPr>
      <w:widowControl/>
      <w:adjustRightInd/>
      <w:spacing w:before="100" w:beforeAutospacing="1" w:after="100" w:afterAutospacing="1" w:line="240" w:lineRule="auto"/>
      <w:textAlignment w:val="auto"/>
    </w:pPr>
    <w:rPr>
      <w:rFonts w:hAnsi="宋体"/>
      <w:szCs w:val="24"/>
    </w:rPr>
  </w:style>
  <w:style w:type="paragraph" w:styleId="37">
    <w:name w:val="Title"/>
    <w:basedOn w:val="1"/>
    <w:link w:val="92"/>
    <w:qFormat/>
    <w:uiPriority w:val="0"/>
    <w:pPr>
      <w:adjustRightInd/>
      <w:spacing w:before="120" w:after="60" w:line="240" w:lineRule="auto"/>
      <w:jc w:val="center"/>
      <w:textAlignment w:val="auto"/>
    </w:pPr>
    <w:rPr>
      <w:rFonts w:ascii="Arial" w:hAnsi="Arial"/>
      <w:b/>
      <w:kern w:val="2"/>
      <w:sz w:val="44"/>
    </w:rPr>
  </w:style>
  <w:style w:type="paragraph" w:styleId="38">
    <w:name w:val="annotation subject"/>
    <w:basedOn w:val="15"/>
    <w:next w:val="15"/>
    <w:link w:val="64"/>
    <w:qFormat/>
    <w:uiPriority w:val="0"/>
    <w:rPr>
      <w:b/>
      <w:bCs/>
    </w:rPr>
  </w:style>
  <w:style w:type="paragraph" w:styleId="39">
    <w:name w:val="Body Text First Indent"/>
    <w:basedOn w:val="17"/>
    <w:link w:val="94"/>
    <w:qFormat/>
    <w:uiPriority w:val="0"/>
    <w:pPr>
      <w:adjustRightInd/>
      <w:spacing w:after="120"/>
      <w:ind w:right="0" w:firstLine="420"/>
      <w:jc w:val="both"/>
      <w:textAlignment w:val="auto"/>
    </w:pPr>
    <w:rPr>
      <w:kern w:val="2"/>
      <w:sz w:val="21"/>
    </w:rPr>
  </w:style>
  <w:style w:type="table" w:styleId="41">
    <w:name w:val="Table Grid"/>
    <w:basedOn w:val="40"/>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43">
    <w:name w:val="Strong"/>
    <w:qFormat/>
    <w:uiPriority w:val="0"/>
    <w:rPr>
      <w:b/>
      <w:bCs/>
    </w:rPr>
  </w:style>
  <w:style w:type="character" w:styleId="44">
    <w:name w:val="page number"/>
    <w:basedOn w:val="42"/>
    <w:qFormat/>
    <w:uiPriority w:val="0"/>
  </w:style>
  <w:style w:type="character" w:styleId="45">
    <w:name w:val="FollowedHyperlink"/>
    <w:qFormat/>
    <w:uiPriority w:val="99"/>
    <w:rPr>
      <w:color w:val="800080"/>
      <w:u w:val="single"/>
    </w:rPr>
  </w:style>
  <w:style w:type="character" w:styleId="46">
    <w:name w:val="line number"/>
    <w:basedOn w:val="42"/>
    <w:semiHidden/>
    <w:unhideWhenUsed/>
    <w:qFormat/>
    <w:uiPriority w:val="0"/>
  </w:style>
  <w:style w:type="character" w:styleId="47">
    <w:name w:val="Hyperlink"/>
    <w:qFormat/>
    <w:uiPriority w:val="99"/>
    <w:rPr>
      <w:color w:val="0000FF"/>
      <w:u w:val="single"/>
    </w:rPr>
  </w:style>
  <w:style w:type="character" w:styleId="48">
    <w:name w:val="annotation reference"/>
    <w:qFormat/>
    <w:uiPriority w:val="0"/>
    <w:rPr>
      <w:sz w:val="21"/>
      <w:szCs w:val="21"/>
    </w:rPr>
  </w:style>
  <w:style w:type="character" w:customStyle="1" w:styleId="49">
    <w:name w:val="标题 1 字符"/>
    <w:link w:val="2"/>
    <w:qFormat/>
    <w:uiPriority w:val="0"/>
    <w:rPr>
      <w:rFonts w:ascii="黑体" w:eastAsia="黑体"/>
      <w:b/>
      <w:sz w:val="21"/>
    </w:rPr>
  </w:style>
  <w:style w:type="character" w:customStyle="1" w:styleId="50">
    <w:name w:val="标题 2 字符"/>
    <w:link w:val="3"/>
    <w:qFormat/>
    <w:uiPriority w:val="0"/>
    <w:rPr>
      <w:rFonts w:ascii="Arial" w:hAnsi="Arial" w:eastAsia="黑体"/>
      <w:b/>
      <w:bCs/>
      <w:kern w:val="2"/>
      <w:sz w:val="32"/>
      <w:szCs w:val="32"/>
    </w:rPr>
  </w:style>
  <w:style w:type="character" w:customStyle="1" w:styleId="51">
    <w:name w:val="标题 3 字符"/>
    <w:link w:val="4"/>
    <w:qFormat/>
    <w:uiPriority w:val="0"/>
    <w:rPr>
      <w:b/>
      <w:bCs/>
      <w:kern w:val="2"/>
      <w:sz w:val="32"/>
      <w:szCs w:val="32"/>
    </w:rPr>
  </w:style>
  <w:style w:type="character" w:customStyle="1" w:styleId="52">
    <w:name w:val="标题 4 字符"/>
    <w:link w:val="5"/>
    <w:qFormat/>
    <w:uiPriority w:val="0"/>
    <w:rPr>
      <w:rFonts w:ascii="Arial" w:hAnsi="Arial" w:eastAsia="黑体"/>
      <w:b/>
      <w:bCs/>
      <w:kern w:val="2"/>
      <w:sz w:val="28"/>
      <w:szCs w:val="28"/>
    </w:rPr>
  </w:style>
  <w:style w:type="character" w:customStyle="1" w:styleId="53">
    <w:name w:val="标题 5 字符"/>
    <w:link w:val="6"/>
    <w:qFormat/>
    <w:uiPriority w:val="0"/>
    <w:rPr>
      <w:rFonts w:ascii="宋体"/>
      <w:b/>
      <w:bCs/>
      <w:sz w:val="28"/>
      <w:szCs w:val="28"/>
    </w:rPr>
  </w:style>
  <w:style w:type="character" w:customStyle="1" w:styleId="54">
    <w:name w:val="标题 6 字符"/>
    <w:link w:val="7"/>
    <w:qFormat/>
    <w:uiPriority w:val="0"/>
    <w:rPr>
      <w:rFonts w:ascii="Arial" w:hAnsi="Arial" w:eastAsia="黑体"/>
      <w:b/>
      <w:bCs/>
      <w:sz w:val="24"/>
      <w:szCs w:val="24"/>
    </w:rPr>
  </w:style>
  <w:style w:type="character" w:customStyle="1" w:styleId="55">
    <w:name w:val="标题 7 字符"/>
    <w:link w:val="8"/>
    <w:qFormat/>
    <w:uiPriority w:val="0"/>
    <w:rPr>
      <w:b/>
      <w:bCs/>
      <w:sz w:val="24"/>
      <w:szCs w:val="24"/>
    </w:rPr>
  </w:style>
  <w:style w:type="character" w:customStyle="1" w:styleId="56">
    <w:name w:val="标题 8 字符"/>
    <w:link w:val="9"/>
    <w:qFormat/>
    <w:uiPriority w:val="0"/>
    <w:rPr>
      <w:rFonts w:ascii="Arial" w:hAnsi="Arial" w:eastAsia="黑体"/>
      <w:sz w:val="24"/>
      <w:szCs w:val="24"/>
    </w:rPr>
  </w:style>
  <w:style w:type="character" w:customStyle="1" w:styleId="57">
    <w:name w:val="标题 9 字符"/>
    <w:link w:val="10"/>
    <w:qFormat/>
    <w:uiPriority w:val="0"/>
    <w:rPr>
      <w:rFonts w:ascii="Arial" w:hAnsi="Arial" w:eastAsia="黑体"/>
      <w:sz w:val="21"/>
      <w:szCs w:val="21"/>
    </w:rPr>
  </w:style>
  <w:style w:type="character" w:customStyle="1" w:styleId="58">
    <w:name w:val="页眉 字符"/>
    <w:link w:val="28"/>
    <w:qFormat/>
    <w:uiPriority w:val="0"/>
    <w:rPr>
      <w:rFonts w:ascii="宋体"/>
      <w:sz w:val="18"/>
    </w:rPr>
  </w:style>
  <w:style w:type="character" w:customStyle="1" w:styleId="59">
    <w:name w:val="页脚 字符"/>
    <w:link w:val="27"/>
    <w:qFormat/>
    <w:uiPriority w:val="99"/>
    <w:rPr>
      <w:rFonts w:ascii="宋体"/>
      <w:sz w:val="18"/>
    </w:rPr>
  </w:style>
  <w:style w:type="character" w:customStyle="1" w:styleId="60">
    <w:name w:val="日期 字符"/>
    <w:link w:val="24"/>
    <w:qFormat/>
    <w:uiPriority w:val="0"/>
    <w:rPr>
      <w:rFonts w:ascii="宋体"/>
      <w:sz w:val="24"/>
    </w:rPr>
  </w:style>
  <w:style w:type="paragraph" w:customStyle="1" w:styleId="61">
    <w:name w:val="封面样式1"/>
    <w:basedOn w:val="1"/>
    <w:qFormat/>
    <w:uiPriority w:val="0"/>
    <w:pPr>
      <w:adjustRightInd/>
      <w:spacing w:line="440" w:lineRule="exact"/>
      <w:ind w:firstLine="480" w:firstLineChars="200"/>
      <w:jc w:val="both"/>
      <w:textAlignment w:val="auto"/>
    </w:pPr>
    <w:rPr>
      <w:rFonts w:ascii="华文细黑" w:hAnsi="华文细黑" w:cs="Arial"/>
      <w:color w:val="000000"/>
      <w:szCs w:val="28"/>
    </w:rPr>
  </w:style>
  <w:style w:type="paragraph" w:customStyle="1" w:styleId="62">
    <w:name w:val="落款"/>
    <w:basedOn w:val="1"/>
    <w:qFormat/>
    <w:uiPriority w:val="0"/>
    <w:pPr>
      <w:adjustRightInd/>
      <w:spacing w:line="440" w:lineRule="exact"/>
      <w:ind w:firstLine="480" w:firstLineChars="200"/>
      <w:jc w:val="both"/>
      <w:textAlignment w:val="auto"/>
    </w:pPr>
    <w:rPr>
      <w:rFonts w:ascii="华文细黑" w:hAnsi="华文细黑" w:cs="Arial"/>
      <w:color w:val="000000"/>
      <w:szCs w:val="28"/>
    </w:rPr>
  </w:style>
  <w:style w:type="character" w:customStyle="1" w:styleId="63">
    <w:name w:val="批注文字 字符"/>
    <w:link w:val="15"/>
    <w:qFormat/>
    <w:uiPriority w:val="0"/>
    <w:rPr>
      <w:rFonts w:ascii="宋体"/>
      <w:sz w:val="24"/>
    </w:rPr>
  </w:style>
  <w:style w:type="character" w:customStyle="1" w:styleId="64">
    <w:name w:val="批注主题 字符"/>
    <w:link w:val="38"/>
    <w:qFormat/>
    <w:uiPriority w:val="0"/>
    <w:rPr>
      <w:rFonts w:ascii="宋体"/>
      <w:b/>
      <w:bCs/>
      <w:sz w:val="24"/>
    </w:rPr>
  </w:style>
  <w:style w:type="character" w:customStyle="1" w:styleId="65">
    <w:name w:val="文档结构图 字符"/>
    <w:link w:val="14"/>
    <w:qFormat/>
    <w:uiPriority w:val="0"/>
    <w:rPr>
      <w:rFonts w:ascii="宋体"/>
      <w:sz w:val="18"/>
      <w:szCs w:val="18"/>
    </w:rPr>
  </w:style>
  <w:style w:type="character" w:customStyle="1" w:styleId="66">
    <w:name w:val="纯文本 字符"/>
    <w:link w:val="22"/>
    <w:qFormat/>
    <w:uiPriority w:val="99"/>
    <w:rPr>
      <w:rFonts w:ascii="宋体" w:hAnsi="Courier New"/>
      <w:kern w:val="2"/>
      <w:sz w:val="21"/>
    </w:rPr>
  </w:style>
  <w:style w:type="paragraph" w:styleId="67">
    <w:name w:val="List Paragraph"/>
    <w:basedOn w:val="1"/>
    <w:qFormat/>
    <w:uiPriority w:val="34"/>
    <w:pPr>
      <w:adjustRightInd/>
      <w:spacing w:line="240" w:lineRule="auto"/>
      <w:ind w:firstLine="420" w:firstLineChars="200"/>
      <w:jc w:val="both"/>
      <w:textAlignment w:val="auto"/>
    </w:pPr>
    <w:rPr>
      <w:rFonts w:ascii="Calibri" w:hAnsi="Calibri"/>
      <w:kern w:val="2"/>
      <w:sz w:val="21"/>
      <w:szCs w:val="22"/>
    </w:rPr>
  </w:style>
  <w:style w:type="paragraph" w:styleId="68">
    <w:name w:val="No Spacing"/>
    <w:link w:val="69"/>
    <w:qFormat/>
    <w:uiPriority w:val="1"/>
    <w:rPr>
      <w:rFonts w:ascii="Calibri" w:hAnsi="Calibri" w:eastAsia="宋体" w:cs="Times New Roman"/>
      <w:sz w:val="22"/>
      <w:szCs w:val="22"/>
      <w:lang w:val="en-US" w:eastAsia="zh-CN" w:bidi="ar-SA"/>
    </w:rPr>
  </w:style>
  <w:style w:type="character" w:customStyle="1" w:styleId="69">
    <w:name w:val="无间隔 字符"/>
    <w:link w:val="68"/>
    <w:qFormat/>
    <w:uiPriority w:val="1"/>
    <w:rPr>
      <w:rFonts w:ascii="Calibri" w:hAnsi="Calibri"/>
      <w:sz w:val="22"/>
      <w:szCs w:val="22"/>
      <w:lang w:bidi="ar-SA"/>
    </w:rPr>
  </w:style>
  <w:style w:type="paragraph" w:customStyle="1" w:styleId="70">
    <w:name w:val="TOC 标题1"/>
    <w:basedOn w:val="2"/>
    <w:next w:val="1"/>
    <w:unhideWhenUsed/>
    <w:qFormat/>
    <w:uiPriority w:val="39"/>
    <w:pPr>
      <w:keepLines/>
      <w:widowControl/>
      <w:adjustRightInd/>
      <w:spacing w:before="480" w:line="276" w:lineRule="auto"/>
      <w:jc w:val="left"/>
      <w:textAlignment w:val="auto"/>
      <w:outlineLvl w:val="9"/>
    </w:pPr>
    <w:rPr>
      <w:rFonts w:ascii="Cambria" w:hAnsi="Cambria" w:eastAsia="宋体"/>
      <w:bCs/>
      <w:color w:val="365F91"/>
      <w:sz w:val="28"/>
      <w:szCs w:val="28"/>
    </w:rPr>
  </w:style>
  <w:style w:type="paragraph" w:customStyle="1" w:styleId="71">
    <w:name w:val="注释"/>
    <w:basedOn w:val="18"/>
    <w:qFormat/>
    <w:uiPriority w:val="0"/>
    <w:pPr>
      <w:adjustRightInd/>
      <w:spacing w:beforeLines="100" w:afterLines="100" w:line="240" w:lineRule="auto"/>
      <w:ind w:firstLine="0"/>
      <w:jc w:val="center"/>
      <w:textAlignment w:val="auto"/>
    </w:pPr>
    <w:rPr>
      <w:rFonts w:ascii="仿宋_GB2312" w:eastAsia="仿宋_GB2312"/>
      <w:kern w:val="2"/>
      <w:sz w:val="36"/>
      <w:szCs w:val="24"/>
    </w:rPr>
  </w:style>
  <w:style w:type="paragraph" w:customStyle="1" w:styleId="72">
    <w:name w:val="Char Char"/>
    <w:basedOn w:val="14"/>
    <w:qFormat/>
    <w:uiPriority w:val="0"/>
    <w:pPr>
      <w:shd w:val="clear" w:color="auto" w:fill="000080"/>
      <w:spacing w:line="436" w:lineRule="exact"/>
      <w:ind w:left="357"/>
      <w:textAlignment w:val="auto"/>
      <w:outlineLvl w:val="3"/>
    </w:pPr>
    <w:rPr>
      <w:rFonts w:ascii="Times New Roman"/>
      <w:kern w:val="2"/>
      <w:sz w:val="21"/>
      <w:szCs w:val="20"/>
    </w:rPr>
  </w:style>
  <w:style w:type="paragraph" w:customStyle="1" w:styleId="73">
    <w:name w:val="Blockquote"/>
    <w:basedOn w:val="1"/>
    <w:qFormat/>
    <w:uiPriority w:val="0"/>
    <w:pPr>
      <w:autoSpaceDE w:val="0"/>
      <w:autoSpaceDN w:val="0"/>
      <w:spacing w:before="100" w:after="100" w:line="240" w:lineRule="auto"/>
      <w:ind w:left="360" w:right="360"/>
      <w:textAlignment w:val="auto"/>
    </w:pPr>
    <w:rPr>
      <w:rFonts w:ascii="Times New Roman"/>
    </w:rPr>
  </w:style>
  <w:style w:type="paragraph" w:customStyle="1" w:styleId="74">
    <w:name w:val="p16"/>
    <w:basedOn w:val="1"/>
    <w:qFormat/>
    <w:uiPriority w:val="0"/>
    <w:pPr>
      <w:widowControl/>
      <w:adjustRightInd/>
      <w:spacing w:line="360" w:lineRule="auto"/>
      <w:jc w:val="both"/>
      <w:textAlignment w:val="auto"/>
    </w:pPr>
    <w:rPr>
      <w:rFonts w:hAnsi="宋体" w:cs="宋体"/>
      <w:spacing w:val="2"/>
      <w:szCs w:val="24"/>
    </w:rPr>
  </w:style>
  <w:style w:type="paragraph" w:customStyle="1" w:styleId="75">
    <w:name w:val="列出段落1"/>
    <w:basedOn w:val="1"/>
    <w:qFormat/>
    <w:uiPriority w:val="99"/>
    <w:pPr>
      <w:adjustRightInd/>
      <w:spacing w:line="240" w:lineRule="auto"/>
      <w:ind w:firstLine="420" w:firstLineChars="200"/>
      <w:jc w:val="both"/>
      <w:textAlignment w:val="auto"/>
    </w:pPr>
    <w:rPr>
      <w:rFonts w:ascii="Calibri" w:hAnsi="Calibri"/>
      <w:kern w:val="2"/>
      <w:sz w:val="21"/>
      <w:szCs w:val="22"/>
    </w:rPr>
  </w:style>
  <w:style w:type="paragraph" w:customStyle="1" w:styleId="76">
    <w:name w:val="reader-word-layer"/>
    <w:basedOn w:val="1"/>
    <w:qFormat/>
    <w:uiPriority w:val="0"/>
    <w:pPr>
      <w:widowControl/>
      <w:adjustRightInd/>
      <w:spacing w:before="100" w:beforeAutospacing="1" w:after="100" w:afterAutospacing="1" w:line="240" w:lineRule="auto"/>
      <w:textAlignment w:val="auto"/>
    </w:pPr>
    <w:rPr>
      <w:rFonts w:hAnsi="宋体" w:cs="宋体"/>
      <w:szCs w:val="24"/>
    </w:rPr>
  </w:style>
  <w:style w:type="paragraph" w:customStyle="1" w:styleId="77">
    <w:name w:val="reader-pic-item"/>
    <w:basedOn w:val="1"/>
    <w:qFormat/>
    <w:uiPriority w:val="0"/>
    <w:pPr>
      <w:widowControl/>
      <w:adjustRightInd/>
      <w:spacing w:before="100" w:beforeAutospacing="1" w:after="100" w:afterAutospacing="1" w:line="240" w:lineRule="auto"/>
      <w:textAlignment w:val="auto"/>
    </w:pPr>
    <w:rPr>
      <w:rFonts w:hAnsi="宋体" w:cs="宋体"/>
      <w:szCs w:val="24"/>
    </w:rPr>
  </w:style>
  <w:style w:type="paragraph" w:customStyle="1" w:styleId="78">
    <w:name w:val="图片"/>
    <w:basedOn w:val="1"/>
    <w:link w:val="79"/>
    <w:qFormat/>
    <w:uiPriority w:val="0"/>
    <w:pPr>
      <w:adjustRightInd/>
      <w:spacing w:line="360" w:lineRule="auto"/>
      <w:ind w:left="315" w:leftChars="150"/>
      <w:jc w:val="center"/>
      <w:textAlignment w:val="auto"/>
    </w:pPr>
    <w:rPr>
      <w:rFonts w:cs="宋体"/>
      <w:kern w:val="2"/>
    </w:rPr>
  </w:style>
  <w:style w:type="character" w:customStyle="1" w:styleId="79">
    <w:name w:val="图片 Char"/>
    <w:basedOn w:val="42"/>
    <w:link w:val="78"/>
    <w:qFormat/>
    <w:uiPriority w:val="0"/>
    <w:rPr>
      <w:rFonts w:ascii="宋体" w:cs="宋体"/>
      <w:kern w:val="2"/>
      <w:sz w:val="24"/>
    </w:rPr>
  </w:style>
  <w:style w:type="paragraph" w:customStyle="1" w:styleId="80">
    <w:name w:val="样式"/>
    <w:qFormat/>
    <w:uiPriority w:val="0"/>
    <w:pPr>
      <w:widowControl w:val="0"/>
      <w:autoSpaceDE w:val="0"/>
      <w:autoSpaceDN w:val="0"/>
      <w:adjustRightInd w:val="0"/>
    </w:pPr>
    <w:rPr>
      <w:rFonts w:ascii="宋体" w:eastAsia="宋体" w:cs="宋体" w:hAnsiTheme="minorHAnsi"/>
      <w:sz w:val="24"/>
      <w:szCs w:val="24"/>
      <w:lang w:val="en-US" w:eastAsia="zh-CN" w:bidi="ar-SA"/>
    </w:rPr>
  </w:style>
  <w:style w:type="paragraph" w:customStyle="1" w:styleId="81">
    <w:name w:val="修订1"/>
    <w:hidden/>
    <w:semiHidden/>
    <w:qFormat/>
    <w:uiPriority w:val="99"/>
    <w:rPr>
      <w:rFonts w:ascii="宋体" w:hAnsi="Times New Roman" w:eastAsia="宋体" w:cs="Times New Roman"/>
      <w:sz w:val="24"/>
      <w:lang w:val="en-US" w:eastAsia="zh-CN" w:bidi="ar-SA"/>
    </w:rPr>
  </w:style>
  <w:style w:type="paragraph" w:customStyle="1" w:styleId="82">
    <w:name w:val="Char"/>
    <w:basedOn w:val="1"/>
    <w:qFormat/>
    <w:uiPriority w:val="0"/>
    <w:pPr>
      <w:widowControl/>
      <w:adjustRightInd/>
      <w:spacing w:after="160" w:line="240" w:lineRule="exact"/>
      <w:textAlignment w:val="auto"/>
    </w:pPr>
    <w:rPr>
      <w:rFonts w:ascii="Verdana" w:hAnsi="Verdana" w:eastAsia="仿宋_GB2312"/>
      <w:lang w:eastAsia="en-US"/>
    </w:rPr>
  </w:style>
  <w:style w:type="paragraph" w:customStyle="1" w:styleId="83">
    <w:name w:val="标题2"/>
    <w:basedOn w:val="3"/>
    <w:next w:val="3"/>
    <w:link w:val="84"/>
    <w:qFormat/>
    <w:uiPriority w:val="0"/>
    <w:pPr>
      <w:numPr>
        <w:numId w:val="3"/>
      </w:numPr>
      <w:tabs>
        <w:tab w:val="left" w:pos="709"/>
      </w:tabs>
      <w:spacing w:beforeLines="50" w:afterLines="50" w:line="480" w:lineRule="exact"/>
      <w:jc w:val="left"/>
    </w:pPr>
    <w:rPr>
      <w:rFonts w:hAnsi="宋体" w:eastAsia="宋体"/>
      <w:snapToGrid w:val="0"/>
      <w:sz w:val="24"/>
      <w:szCs w:val="24"/>
    </w:rPr>
  </w:style>
  <w:style w:type="character" w:customStyle="1" w:styleId="84">
    <w:name w:val="标题2 Char"/>
    <w:link w:val="83"/>
    <w:qFormat/>
    <w:uiPriority w:val="0"/>
    <w:rPr>
      <w:rFonts w:ascii="Arial" w:hAnsi="宋体"/>
      <w:b/>
      <w:bCs/>
      <w:snapToGrid w:val="0"/>
      <w:kern w:val="2"/>
      <w:sz w:val="24"/>
      <w:szCs w:val="24"/>
    </w:rPr>
  </w:style>
  <w:style w:type="character" w:customStyle="1" w:styleId="85">
    <w:name w:val="正文文本缩进 字符"/>
    <w:basedOn w:val="42"/>
    <w:link w:val="18"/>
    <w:qFormat/>
    <w:uiPriority w:val="0"/>
    <w:rPr>
      <w:rFonts w:ascii="宋体"/>
      <w:sz w:val="24"/>
    </w:rPr>
  </w:style>
  <w:style w:type="character" w:customStyle="1" w:styleId="86">
    <w:name w:val="正文文本 Char"/>
    <w:basedOn w:val="42"/>
    <w:qFormat/>
    <w:uiPriority w:val="0"/>
    <w:rPr>
      <w:rFonts w:ascii="幼圆" w:hAnsi="Times New Roman" w:eastAsia="幼圆" w:cs="Times New Roman"/>
      <w:kern w:val="0"/>
      <w:sz w:val="24"/>
      <w:szCs w:val="20"/>
    </w:rPr>
  </w:style>
  <w:style w:type="character" w:customStyle="1" w:styleId="87">
    <w:name w:val="批注框文本 字符"/>
    <w:basedOn w:val="42"/>
    <w:link w:val="26"/>
    <w:qFormat/>
    <w:uiPriority w:val="0"/>
    <w:rPr>
      <w:rFonts w:ascii="宋体"/>
      <w:sz w:val="18"/>
      <w:szCs w:val="18"/>
    </w:rPr>
  </w:style>
  <w:style w:type="character" w:customStyle="1" w:styleId="88">
    <w:name w:val="正文文本 2 字符"/>
    <w:basedOn w:val="42"/>
    <w:link w:val="35"/>
    <w:qFormat/>
    <w:uiPriority w:val="0"/>
    <w:rPr>
      <w:rFonts w:ascii="宋体" w:hAnsi="宋体"/>
      <w:color w:val="000000"/>
      <w:kern w:val="2"/>
      <w:sz w:val="28"/>
    </w:rPr>
  </w:style>
  <w:style w:type="character" w:customStyle="1" w:styleId="89">
    <w:name w:val="正文文本 3 字符"/>
    <w:basedOn w:val="42"/>
    <w:link w:val="16"/>
    <w:qFormat/>
    <w:uiPriority w:val="0"/>
    <w:rPr>
      <w:rFonts w:ascii="宋体" w:hAnsi="宋体"/>
      <w:b/>
      <w:sz w:val="24"/>
    </w:rPr>
  </w:style>
  <w:style w:type="character" w:customStyle="1" w:styleId="90">
    <w:name w:val="正文文本缩进 2 字符"/>
    <w:basedOn w:val="42"/>
    <w:link w:val="25"/>
    <w:qFormat/>
    <w:uiPriority w:val="0"/>
    <w:rPr>
      <w:rFonts w:ascii="宋体" w:hAnsi="宋体"/>
      <w:kern w:val="2"/>
      <w:sz w:val="28"/>
      <w:szCs w:val="24"/>
    </w:rPr>
  </w:style>
  <w:style w:type="character" w:customStyle="1" w:styleId="91">
    <w:name w:val="正文文本缩进 3 字符"/>
    <w:basedOn w:val="42"/>
    <w:link w:val="32"/>
    <w:qFormat/>
    <w:uiPriority w:val="0"/>
    <w:rPr>
      <w:rFonts w:ascii="宋体" w:hAnsi="宋体"/>
      <w:sz w:val="28"/>
    </w:rPr>
  </w:style>
  <w:style w:type="character" w:customStyle="1" w:styleId="92">
    <w:name w:val="标题 字符"/>
    <w:basedOn w:val="42"/>
    <w:link w:val="37"/>
    <w:qFormat/>
    <w:uiPriority w:val="0"/>
    <w:rPr>
      <w:rFonts w:ascii="Arial" w:hAnsi="Arial"/>
      <w:b/>
      <w:kern w:val="2"/>
      <w:sz w:val="44"/>
    </w:rPr>
  </w:style>
  <w:style w:type="character" w:customStyle="1" w:styleId="93">
    <w:name w:val="正文文本 字符"/>
    <w:basedOn w:val="42"/>
    <w:link w:val="17"/>
    <w:qFormat/>
    <w:uiPriority w:val="0"/>
    <w:rPr>
      <w:rFonts w:ascii="幼圆" w:eastAsia="幼圆"/>
      <w:sz w:val="24"/>
    </w:rPr>
  </w:style>
  <w:style w:type="character" w:customStyle="1" w:styleId="94">
    <w:name w:val="正文文本首行缩进 字符"/>
    <w:basedOn w:val="93"/>
    <w:link w:val="39"/>
    <w:qFormat/>
    <w:uiPriority w:val="0"/>
    <w:rPr>
      <w:rFonts w:ascii="幼圆" w:eastAsia="幼圆"/>
      <w:kern w:val="2"/>
      <w:sz w:val="21"/>
    </w:rPr>
  </w:style>
  <w:style w:type="paragraph" w:customStyle="1" w:styleId="95">
    <w:name w:val="7"/>
    <w:basedOn w:val="1"/>
    <w:next w:val="22"/>
    <w:qFormat/>
    <w:uiPriority w:val="0"/>
    <w:pPr>
      <w:adjustRightInd/>
      <w:spacing w:line="240" w:lineRule="auto"/>
      <w:jc w:val="both"/>
      <w:textAlignment w:val="auto"/>
    </w:pPr>
    <w:rPr>
      <w:rFonts w:ascii="Times New Roman" w:hAnsi="Courier New"/>
      <w:kern w:val="2"/>
      <w:sz w:val="21"/>
    </w:rPr>
  </w:style>
  <w:style w:type="paragraph" w:customStyle="1" w:styleId="96">
    <w:name w:val="样式 样式 标题 3 + 段前: 0.5 行 段后: 0.5 行 + 宋体 四号 段前: 0.5 行 段后: 0.5 行"/>
    <w:basedOn w:val="1"/>
    <w:qFormat/>
    <w:uiPriority w:val="0"/>
    <w:pPr>
      <w:keepNext/>
      <w:keepLines/>
      <w:numPr>
        <w:ilvl w:val="1"/>
        <w:numId w:val="4"/>
      </w:numPr>
      <w:tabs>
        <w:tab w:val="clear" w:pos="1077"/>
      </w:tabs>
      <w:adjustRightInd/>
      <w:spacing w:beforeLines="50" w:afterLines="50" w:line="360" w:lineRule="auto"/>
      <w:ind w:left="0" w:firstLine="0"/>
      <w:textAlignment w:val="auto"/>
      <w:outlineLvl w:val="2"/>
    </w:pPr>
    <w:rPr>
      <w:rFonts w:ascii="Times New Roman" w:hAnsi="宋体" w:cs="宋体"/>
      <w:b/>
      <w:bCs/>
      <w:kern w:val="2"/>
      <w:sz w:val="20"/>
      <w:szCs w:val="24"/>
    </w:rPr>
  </w:style>
  <w:style w:type="character" w:customStyle="1" w:styleId="97">
    <w:name w:val="纯文本 Char1"/>
    <w:qFormat/>
    <w:locked/>
    <w:uiPriority w:val="99"/>
    <w:rPr>
      <w:rFonts w:ascii="宋体" w:hAnsi="Courier New" w:eastAsia="宋体" w:cs="宋体"/>
      <w:sz w:val="20"/>
      <w:szCs w:val="20"/>
    </w:rPr>
  </w:style>
  <w:style w:type="paragraph" w:customStyle="1" w:styleId="98">
    <w:name w:val="样式 标题 4 + 四号"/>
    <w:basedOn w:val="5"/>
    <w:qFormat/>
    <w:uiPriority w:val="0"/>
    <w:pPr>
      <w:widowControl/>
      <w:numPr>
        <w:ilvl w:val="0"/>
        <w:numId w:val="0"/>
      </w:numPr>
      <w:adjustRightInd w:val="0"/>
      <w:snapToGrid w:val="0"/>
      <w:spacing w:beforeLines="50" w:after="0" w:line="300" w:lineRule="auto"/>
      <w:ind w:left="1077" w:hanging="1077"/>
    </w:pPr>
    <w:rPr>
      <w:rFonts w:ascii="黑体" w:hAnsi="Cambria"/>
      <w:kern w:val="0"/>
      <w:szCs w:val="22"/>
      <w:lang w:bidi="en-US"/>
    </w:rPr>
  </w:style>
  <w:style w:type="paragraph" w:customStyle="1" w:styleId="99">
    <w:name w:val="样式 五号 两端对齐 首行缩进:  0 厘米"/>
    <w:basedOn w:val="1"/>
    <w:qFormat/>
    <w:uiPriority w:val="0"/>
    <w:pPr>
      <w:adjustRightInd/>
      <w:spacing w:line="240" w:lineRule="auto"/>
      <w:jc w:val="both"/>
      <w:textAlignment w:val="auto"/>
    </w:pPr>
    <w:rPr>
      <w:rFonts w:ascii="Times New Roman" w:cs="宋体"/>
      <w:kern w:val="2"/>
      <w:sz w:val="21"/>
    </w:rPr>
  </w:style>
  <w:style w:type="paragraph" w:customStyle="1" w:styleId="100">
    <w:name w:val="标题1"/>
    <w:basedOn w:val="2"/>
    <w:next w:val="2"/>
    <w:link w:val="102"/>
    <w:qFormat/>
    <w:uiPriority w:val="0"/>
    <w:pPr>
      <w:tabs>
        <w:tab w:val="left" w:pos="284"/>
      </w:tabs>
      <w:spacing w:beforeLines="50" w:afterLines="50" w:line="240" w:lineRule="auto"/>
      <w:ind w:left="420"/>
      <w:jc w:val="left"/>
      <w:outlineLvl w:val="2"/>
    </w:pPr>
    <w:rPr>
      <w:rFonts w:ascii="宋体" w:hAnsi="宋体"/>
      <w:b w:val="0"/>
      <w:spacing w:val="20"/>
      <w:sz w:val="32"/>
      <w:szCs w:val="24"/>
    </w:rPr>
  </w:style>
  <w:style w:type="character" w:customStyle="1" w:styleId="101">
    <w:name w:val="TOC 1 字符"/>
    <w:link w:val="29"/>
    <w:qFormat/>
    <w:uiPriority w:val="39"/>
    <w:rPr>
      <w:rFonts w:ascii="宋体"/>
      <w:b/>
      <w:sz w:val="24"/>
    </w:rPr>
  </w:style>
  <w:style w:type="character" w:customStyle="1" w:styleId="102">
    <w:name w:val="标题1 Char"/>
    <w:link w:val="100"/>
    <w:qFormat/>
    <w:uiPriority w:val="0"/>
    <w:rPr>
      <w:rFonts w:ascii="宋体" w:hAnsi="宋体" w:eastAsia="黑体"/>
      <w:spacing w:val="20"/>
      <w:sz w:val="32"/>
      <w:szCs w:val="24"/>
    </w:rPr>
  </w:style>
  <w:style w:type="paragraph" w:customStyle="1" w:styleId="103">
    <w:name w:val="标题3"/>
    <w:basedOn w:val="4"/>
    <w:next w:val="4"/>
    <w:link w:val="105"/>
    <w:qFormat/>
    <w:uiPriority w:val="0"/>
    <w:pPr>
      <w:numPr>
        <w:ilvl w:val="0"/>
        <w:numId w:val="0"/>
      </w:numPr>
      <w:tabs>
        <w:tab w:val="left" w:pos="709"/>
      </w:tabs>
      <w:spacing w:beforeLines="50" w:afterLines="50" w:line="480" w:lineRule="exact"/>
      <w:ind w:left="1077" w:hanging="1077"/>
      <w:jc w:val="left"/>
      <w:outlineLvl w:val="1"/>
    </w:pPr>
    <w:rPr>
      <w:rFonts w:hAnsi="宋体"/>
      <w:b w:val="0"/>
      <w:snapToGrid w:val="0"/>
      <w:sz w:val="24"/>
      <w:szCs w:val="24"/>
    </w:rPr>
  </w:style>
  <w:style w:type="paragraph" w:customStyle="1" w:styleId="104">
    <w:name w:val="目录1"/>
    <w:basedOn w:val="29"/>
    <w:next w:val="2"/>
    <w:link w:val="106"/>
    <w:qFormat/>
    <w:uiPriority w:val="0"/>
    <w:pPr>
      <w:tabs>
        <w:tab w:val="left" w:pos="284"/>
        <w:tab w:val="clear" w:pos="9072"/>
      </w:tabs>
      <w:spacing w:beforeLines="50" w:afterLines="50" w:line="480" w:lineRule="exact"/>
      <w:ind w:left="420"/>
      <w:jc w:val="left"/>
      <w:outlineLvl w:val="2"/>
    </w:pPr>
    <w:rPr>
      <w:rFonts w:hAnsi="宋体" w:eastAsia="黑体"/>
      <w:b w:val="0"/>
      <w:spacing w:val="20"/>
      <w:szCs w:val="24"/>
    </w:rPr>
  </w:style>
  <w:style w:type="character" w:customStyle="1" w:styleId="105">
    <w:name w:val="标题3 Char"/>
    <w:link w:val="103"/>
    <w:qFormat/>
    <w:uiPriority w:val="0"/>
    <w:rPr>
      <w:rFonts w:hAnsi="宋体"/>
      <w:bCs/>
      <w:snapToGrid w:val="0"/>
      <w:kern w:val="2"/>
      <w:sz w:val="24"/>
      <w:szCs w:val="24"/>
    </w:rPr>
  </w:style>
  <w:style w:type="character" w:customStyle="1" w:styleId="106">
    <w:name w:val="目录1 Char"/>
    <w:link w:val="104"/>
    <w:qFormat/>
    <w:uiPriority w:val="0"/>
    <w:rPr>
      <w:rFonts w:ascii="宋体" w:hAnsi="宋体" w:eastAsia="黑体"/>
      <w:spacing w:val="20"/>
      <w:sz w:val="24"/>
      <w:szCs w:val="24"/>
    </w:rPr>
  </w:style>
  <w:style w:type="paragraph" w:customStyle="1" w:styleId="10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8">
    <w:name w:val="未处理的提及1"/>
    <w:basedOn w:val="42"/>
    <w:semiHidden/>
    <w:unhideWhenUsed/>
    <w:qFormat/>
    <w:uiPriority w:val="99"/>
    <w:rPr>
      <w:color w:val="605E5C"/>
      <w:shd w:val="clear" w:color="auto" w:fill="E1DFDD"/>
    </w:rPr>
  </w:style>
  <w:style w:type="paragraph" w:customStyle="1" w:styleId="109">
    <w:name w:val="修订2"/>
    <w:hidden/>
    <w:semiHidden/>
    <w:qFormat/>
    <w:uiPriority w:val="99"/>
    <w:rPr>
      <w:rFonts w:ascii="宋体" w:hAnsi="Times New Roman" w:eastAsia="宋体" w:cs="Times New Roman"/>
      <w:sz w:val="24"/>
      <w:lang w:val="en-US" w:eastAsia="zh-CN" w:bidi="ar-SA"/>
    </w:rPr>
  </w:style>
  <w:style w:type="table" w:customStyle="1" w:styleId="110">
    <w:name w:val="网格型1"/>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83C44-29FD-4B1A-897F-B1EC8F6FEA65}">
  <ds:schemaRefs/>
</ds:datastoreItem>
</file>

<file path=docProps/app.xml><?xml version="1.0" encoding="utf-8"?>
<Properties xmlns="http://schemas.openxmlformats.org/officeDocument/2006/extended-properties" xmlns:vt="http://schemas.openxmlformats.org/officeDocument/2006/docPropsVTypes">
  <Template>Normal.dotm</Template>
  <Company>cscec</Company>
  <Pages>14</Pages>
  <Words>8841</Words>
  <Characters>9095</Characters>
  <Lines>101</Lines>
  <Paragraphs>28</Paragraphs>
  <TotalTime>76</TotalTime>
  <ScaleCrop>false</ScaleCrop>
  <LinksUpToDate>false</LinksUpToDate>
  <CharactersWithSpaces>9274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2022-06-16T01:31:00Z</dcterms:created>
  <dc:creator>txh</dc:creator>
  <cp:lastModifiedBy>Love~curry~forever</cp:lastModifiedBy>
  <cp:lastPrinted>2019-04-08T01:20:00Z</cp:lastPrinted>
  <dcterms:modified xsi:type="dcterms:W3CDTF">2026-08-17T06:17:57Z</dcterms:modified>
  <dc:title>投 标 人 须 知</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6D682948DE9341EA8D5FA1FF302F6B9C_13</vt:lpwstr>
  </property>
  <property fmtid="{D5CDD505-2E9C-101B-9397-08002B2CF9AE}" pid="4" name="KSOTemplateDocerSaveRecord">
    <vt:lpwstr>eyJoZGlkIjoiYzU4YTU3MzJiNWM5MDY1ZDYyNzQyOGMxYjg0ZTI3N2YiLCJ1c2VySWQiOiIxMDQzMTIzOTQ3In0=</vt:lpwstr>
  </property>
</Properties>
</file>