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8EDB8">
      <w:pPr>
        <w:spacing w:line="360" w:lineRule="auto"/>
        <w:rPr>
          <w:rFonts w:hint="eastAsia" w:ascii="宋体" w:hAnsi="宋体" w:eastAsia="宋体" w:cs="宋体"/>
          <w:color w:val="auto"/>
          <w:sz w:val="21"/>
          <w:szCs w:val="21"/>
          <w:highlight w:val="none"/>
        </w:rPr>
      </w:pPr>
      <w:bookmarkStart w:id="0" w:name="_Toc31507150"/>
      <w:bookmarkStart w:id="1" w:name="_Toc31609253"/>
      <w:bookmarkStart w:id="2" w:name="_Toc31506874"/>
      <w:bookmarkStart w:id="3" w:name="_Toc31612464"/>
      <w:bookmarkStart w:id="4" w:name="_Toc22194124"/>
      <w:bookmarkStart w:id="5" w:name="_Toc22175017"/>
      <w:bookmarkStart w:id="6" w:name="_Toc22195724"/>
      <w:bookmarkStart w:id="7" w:name="_Toc31609059"/>
      <w:bookmarkStart w:id="8" w:name="_Toc50780114"/>
      <w:bookmarkStart w:id="9" w:name="_Toc31591743"/>
      <w:bookmarkStart w:id="10" w:name="_Toc21948374"/>
      <w:bookmarkStart w:id="11" w:name="_Toc22195081"/>
      <w:bookmarkStart w:id="12" w:name="_Toc30577903"/>
      <w:bookmarkStart w:id="13" w:name="_Toc39286187"/>
      <w:bookmarkStart w:id="14" w:name="_Toc36018908"/>
      <w:bookmarkStart w:id="15" w:name="_Toc26779266"/>
      <w:bookmarkStart w:id="16" w:name="_Toc22175661"/>
      <w:bookmarkStart w:id="17" w:name="_Toc22194827"/>
      <w:bookmarkStart w:id="18" w:name="_Toc31605250"/>
      <w:bookmarkStart w:id="19" w:name="_Toc39028508"/>
      <w:bookmarkStart w:id="20" w:name="_Toc35307260"/>
      <w:bookmarkStart w:id="21" w:name="_Toc22135746"/>
      <w:bookmarkStart w:id="22" w:name="_Toc22195350"/>
      <w:bookmarkStart w:id="23" w:name="_Toc22194393"/>
      <w:bookmarkStart w:id="24" w:name="_Toc57984908"/>
      <w:bookmarkStart w:id="25" w:name="_Toc31592019"/>
      <w:bookmarkStart w:id="26" w:name="_Toc27041906"/>
      <w:bookmarkStart w:id="27" w:name="_Toc27038869"/>
      <w:bookmarkStart w:id="28" w:name="_Toc61366692"/>
      <w:bookmarkStart w:id="29" w:name="_Toc61366870"/>
      <w:bookmarkStart w:id="30" w:name="_Toc22135397"/>
      <w:bookmarkStart w:id="31" w:name="_Toc35511315"/>
      <w:bookmarkStart w:id="32" w:name="_Toc22194558"/>
      <w:bookmarkStart w:id="33" w:name="_Toc22136041"/>
      <w:bookmarkStart w:id="34" w:name="_Toc26887264"/>
      <w:bookmarkStart w:id="35" w:name="_Toc31608606"/>
      <w:bookmarkStart w:id="36" w:name="_Toc22195376"/>
      <w:bookmarkStart w:id="37" w:name="_Toc26774568"/>
      <w:bookmarkStart w:id="38" w:name="_Toc61366823"/>
      <w:bookmarkStart w:id="39" w:name="_Toc22194419"/>
      <w:bookmarkStart w:id="40" w:name="_Toc22175366"/>
      <w:bookmarkStart w:id="41" w:name="_Toc31591467"/>
      <w:bookmarkStart w:id="42" w:name="_Toc27039535"/>
      <w:bookmarkStart w:id="43" w:name="_Toc31612836"/>
      <w:bookmarkStart w:id="44" w:name="_Toc21948084"/>
      <w:bookmarkStart w:id="45" w:name="_Toc27039171"/>
      <w:bookmarkStart w:id="46" w:name="_Toc41961644"/>
      <w:bookmarkStart w:id="47" w:name="_Toc31604974"/>
      <w:bookmarkStart w:id="48" w:name="_Toc22195455"/>
      <w:bookmarkStart w:id="49" w:name="_Toc27040260"/>
      <w:bookmarkStart w:id="50" w:name="_Toc22195750"/>
      <w:bookmarkStart w:id="51" w:name="_Toc49568081"/>
      <w:bookmarkStart w:id="52" w:name="_Toc27184673"/>
      <w:bookmarkStart w:id="53" w:name="_Toc31592295"/>
      <w:bookmarkStart w:id="54" w:name="_Toc22175312"/>
      <w:bookmarkStart w:id="55" w:name="_Toc31608938"/>
      <w:bookmarkStart w:id="56" w:name="_Toc22194853"/>
      <w:bookmarkStart w:id="57" w:name="_Toc30577638"/>
      <w:bookmarkStart w:id="58" w:name="_Toc22135692"/>
      <w:bookmarkStart w:id="59" w:name="_Toc27039898"/>
      <w:bookmarkStart w:id="60" w:name="_Toc31608330"/>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14:paraId="4FDFA38D">
      <w:pPr>
        <w:ind w:firstLine="5670" w:firstLineChars="2700"/>
        <w:rPr>
          <w:rFonts w:hint="eastAsia" w:ascii="宋体" w:hAnsi="宋体" w:eastAsia="宋体" w:cs="宋体"/>
          <w:color w:val="auto"/>
          <w:sz w:val="21"/>
          <w:szCs w:val="21"/>
          <w:highlight w:val="none"/>
        </w:rPr>
      </w:pPr>
    </w:p>
    <w:p w14:paraId="422BB778">
      <w:pPr>
        <w:ind w:firstLine="6405" w:firstLineChars="3050"/>
        <w:rPr>
          <w:rFonts w:hint="eastAsia" w:ascii="宋体" w:hAnsi="宋体" w:eastAsia="宋体" w:cs="宋体"/>
          <w:color w:val="auto"/>
          <w:szCs w:val="24"/>
          <w:highlight w:val="none"/>
        </w:rPr>
      </w:pPr>
      <w:r>
        <w:rPr>
          <w:rFonts w:hint="eastAsia" w:ascii="宋体" w:hAnsi="宋体" w:eastAsia="宋体" w:cs="宋体"/>
          <w:color w:val="auto"/>
          <w:sz w:val="21"/>
          <w:szCs w:val="21"/>
          <w:highlight w:val="none"/>
        </w:rPr>
        <w:t>招标编号：</w:t>
      </w:r>
    </w:p>
    <w:p w14:paraId="544CB197">
      <w:pPr>
        <w:spacing w:line="360" w:lineRule="auto"/>
        <w:rPr>
          <w:rFonts w:hint="eastAsia" w:ascii="宋体" w:hAnsi="宋体" w:eastAsia="宋体" w:cs="宋体"/>
          <w:color w:val="auto"/>
          <w:sz w:val="21"/>
          <w:szCs w:val="21"/>
          <w:highlight w:val="none"/>
        </w:rPr>
      </w:pPr>
    </w:p>
    <w:p w14:paraId="7E7C9A81">
      <w:pPr>
        <w:spacing w:line="360" w:lineRule="auto"/>
        <w:rPr>
          <w:rFonts w:hint="eastAsia" w:ascii="宋体" w:hAnsi="宋体" w:eastAsia="宋体" w:cs="宋体"/>
          <w:color w:val="auto"/>
          <w:sz w:val="21"/>
          <w:szCs w:val="21"/>
          <w:highlight w:val="none"/>
        </w:rPr>
      </w:pPr>
    </w:p>
    <w:p w14:paraId="79BF5204">
      <w:pPr>
        <w:spacing w:before="120" w:beforeLines="50" w:line="360" w:lineRule="auto"/>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lang w:eastAsia="zh-CN"/>
        </w:rPr>
        <w:t>深圳亚洲创建工业园城市更新项目</w:t>
      </w:r>
      <w:r>
        <w:rPr>
          <w:rFonts w:hint="eastAsia" w:hAnsi="宋体" w:cs="宋体"/>
          <w:b/>
          <w:color w:val="auto"/>
          <w:sz w:val="52"/>
          <w:szCs w:val="52"/>
          <w:highlight w:val="none"/>
          <w:lang w:val="en-US" w:eastAsia="zh-CN"/>
        </w:rPr>
        <w:t>空气检测及治理</w:t>
      </w:r>
      <w:r>
        <w:rPr>
          <w:rFonts w:hint="eastAsia" w:ascii="宋体" w:hAnsi="宋体" w:eastAsia="宋体" w:cs="宋体"/>
          <w:b/>
          <w:color w:val="auto"/>
          <w:sz w:val="52"/>
          <w:szCs w:val="52"/>
          <w:highlight w:val="none"/>
        </w:rPr>
        <w:t>工程</w:t>
      </w:r>
    </w:p>
    <w:p w14:paraId="45272616">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招</w:t>
      </w:r>
    </w:p>
    <w:p w14:paraId="3AB2B6F3">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标</w:t>
      </w:r>
    </w:p>
    <w:p w14:paraId="3BC52CA6">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文</w:t>
      </w:r>
    </w:p>
    <w:p w14:paraId="7438B42E">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件</w:t>
      </w:r>
    </w:p>
    <w:p w14:paraId="36413852">
      <w:pPr>
        <w:spacing w:line="360" w:lineRule="auto"/>
        <w:rPr>
          <w:rFonts w:hint="eastAsia" w:ascii="宋体" w:hAnsi="宋体" w:eastAsia="宋体" w:cs="宋体"/>
          <w:color w:val="auto"/>
          <w:sz w:val="21"/>
          <w:szCs w:val="21"/>
          <w:highlight w:val="none"/>
        </w:rPr>
      </w:pPr>
    </w:p>
    <w:p w14:paraId="60437B2F">
      <w:pPr>
        <w:spacing w:line="360" w:lineRule="auto"/>
        <w:rPr>
          <w:rFonts w:hint="eastAsia" w:ascii="宋体" w:hAnsi="宋体" w:eastAsia="宋体" w:cs="宋体"/>
          <w:color w:val="auto"/>
          <w:sz w:val="21"/>
          <w:szCs w:val="21"/>
          <w:highlight w:val="none"/>
        </w:rPr>
      </w:pPr>
    </w:p>
    <w:p w14:paraId="683C5627">
      <w:pPr>
        <w:spacing w:before="120" w:beforeLines="50" w:line="360" w:lineRule="auto"/>
        <w:jc w:val="center"/>
        <w:rPr>
          <w:rFonts w:hint="eastAsia" w:ascii="宋体" w:hAnsi="宋体" w:eastAsia="宋体" w:cs="宋体"/>
          <w:b/>
          <w:color w:val="auto"/>
          <w:sz w:val="28"/>
          <w:szCs w:val="28"/>
          <w:highlight w:val="none"/>
          <w:lang w:eastAsia="zh-CN"/>
        </w:rPr>
      </w:pPr>
      <w:r>
        <w:rPr>
          <w:rFonts w:hint="eastAsia" w:hAnsi="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项目名称：</w:t>
      </w:r>
      <w:r>
        <w:rPr>
          <w:rFonts w:hint="eastAsia" w:ascii="宋体" w:hAnsi="宋体" w:eastAsia="宋体" w:cs="宋体"/>
          <w:b/>
          <w:color w:val="auto"/>
          <w:sz w:val="28"/>
          <w:szCs w:val="28"/>
          <w:highlight w:val="none"/>
          <w:lang w:eastAsia="zh-CN"/>
        </w:rPr>
        <w:t>深圳亚洲创建工业园城市更新项目</w:t>
      </w:r>
      <w:r>
        <w:rPr>
          <w:rFonts w:hint="eastAsia" w:ascii="宋体" w:hAnsi="宋体" w:eastAsia="宋体" w:cs="宋体"/>
          <w:b/>
          <w:color w:val="auto"/>
          <w:sz w:val="28"/>
          <w:szCs w:val="28"/>
          <w:highlight w:val="none"/>
          <w:lang w:val="en-US" w:eastAsia="zh-CN"/>
        </w:rPr>
        <w:t>空气检测及治理</w:t>
      </w:r>
      <w:r>
        <w:rPr>
          <w:rFonts w:hint="eastAsia" w:ascii="宋体" w:hAnsi="宋体" w:eastAsia="宋体" w:cs="宋体"/>
          <w:b/>
          <w:color w:val="auto"/>
          <w:sz w:val="28"/>
          <w:szCs w:val="28"/>
          <w:highlight w:val="none"/>
          <w:lang w:eastAsia="zh-CN"/>
        </w:rPr>
        <w:t>工程</w:t>
      </w:r>
    </w:p>
    <w:p w14:paraId="15DC37DA">
      <w:pPr>
        <w:spacing w:line="360" w:lineRule="auto"/>
        <w:ind w:firstLine="1124" w:firstLineChars="40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项目地址：</w:t>
      </w:r>
      <w:r>
        <w:rPr>
          <w:rFonts w:hint="eastAsia" w:ascii="宋体" w:hAnsi="宋体" w:eastAsia="宋体" w:cs="宋体"/>
          <w:b/>
          <w:color w:val="auto"/>
          <w:sz w:val="28"/>
          <w:szCs w:val="28"/>
          <w:highlight w:val="none"/>
          <w:lang w:val="en-US" w:eastAsia="zh-CN"/>
        </w:rPr>
        <w:t>深圳市宝安区</w:t>
      </w:r>
      <w:r>
        <w:rPr>
          <w:rFonts w:hint="eastAsia" w:hAnsi="宋体" w:cs="宋体"/>
          <w:b/>
          <w:color w:val="auto"/>
          <w:sz w:val="28"/>
          <w:szCs w:val="28"/>
          <w:highlight w:val="none"/>
          <w:lang w:val="en-US" w:eastAsia="zh-CN"/>
        </w:rPr>
        <w:t>福海街道桥头社区天福路87号</w:t>
      </w:r>
    </w:p>
    <w:p w14:paraId="76B1B4CD">
      <w:pPr>
        <w:spacing w:line="360" w:lineRule="auto"/>
        <w:ind w:firstLine="1124" w:firstLineChars="4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招 标 人：</w:t>
      </w:r>
      <w:r>
        <w:rPr>
          <w:rFonts w:hint="eastAsia" w:ascii="宋体" w:hAnsi="宋体" w:eastAsia="宋体" w:cs="宋体"/>
          <w:b/>
          <w:color w:val="auto"/>
          <w:sz w:val="28"/>
          <w:szCs w:val="28"/>
          <w:highlight w:val="none"/>
          <w:lang w:val="en-US" w:eastAsia="zh-CN"/>
        </w:rPr>
        <w:t>深圳市大族数控科技股份有限公司</w:t>
      </w:r>
    </w:p>
    <w:p w14:paraId="17DDDC15">
      <w:pPr>
        <w:spacing w:line="360" w:lineRule="auto"/>
        <w:ind w:firstLine="1124" w:firstLineChars="400"/>
        <w:rPr>
          <w:rFonts w:hint="eastAsia" w:ascii="宋体" w:hAnsi="宋体" w:eastAsia="宋体" w:cs="宋体"/>
          <w:b w:val="0"/>
          <w:color w:val="auto"/>
          <w:kern w:val="2"/>
          <w:sz w:val="21"/>
          <w:szCs w:val="22"/>
          <w:highlight w:val="none"/>
        </w:rPr>
      </w:pPr>
      <w:r>
        <w:rPr>
          <w:rFonts w:hint="eastAsia" w:ascii="宋体" w:hAnsi="宋体" w:eastAsia="宋体" w:cs="宋体"/>
          <w:b/>
          <w:color w:val="auto"/>
          <w:sz w:val="28"/>
          <w:szCs w:val="28"/>
          <w:highlight w:val="none"/>
        </w:rPr>
        <w:t>日    期：</w:t>
      </w:r>
      <w:r>
        <w:rPr>
          <w:rFonts w:hint="eastAsia" w:ascii="宋体" w:hAnsi="宋体" w:eastAsia="宋体" w:cs="宋体"/>
          <w:b/>
          <w:color w:val="auto"/>
          <w:sz w:val="28"/>
          <w:szCs w:val="28"/>
          <w:highlight w:val="none"/>
          <w:lang w:eastAsia="zh-CN"/>
        </w:rPr>
        <w:t xml:space="preserve">2026年 </w:t>
      </w:r>
      <w:r>
        <w:rPr>
          <w:rFonts w:hint="eastAsia" w:hAnsi="宋体" w:cs="宋体"/>
          <w:b/>
          <w:color w:val="auto"/>
          <w:sz w:val="28"/>
          <w:szCs w:val="28"/>
          <w:highlight w:val="none"/>
          <w:lang w:val="en-US" w:eastAsia="zh-CN"/>
        </w:rPr>
        <w:t>7</w:t>
      </w:r>
      <w:r>
        <w:rPr>
          <w:rFonts w:hint="eastAsia" w:ascii="宋体" w:hAnsi="宋体" w:eastAsia="宋体" w:cs="宋体"/>
          <w:b/>
          <w:color w:val="auto"/>
          <w:sz w:val="28"/>
          <w:szCs w:val="28"/>
          <w:highlight w:val="none"/>
          <w:lang w:eastAsia="zh-CN"/>
        </w:rPr>
        <w:t xml:space="preserve"> 月 </w:t>
      </w:r>
      <w:r>
        <w:rPr>
          <w:rFonts w:hint="eastAsia" w:hAnsi="宋体" w:cs="宋体"/>
          <w:b/>
          <w:color w:val="auto"/>
          <w:sz w:val="28"/>
          <w:szCs w:val="28"/>
          <w:highlight w:val="none"/>
          <w:lang w:val="en-US" w:eastAsia="zh-CN"/>
        </w:rPr>
        <w:t>13</w:t>
      </w:r>
      <w:r>
        <w:rPr>
          <w:rFonts w:hint="eastAsia" w:ascii="宋体" w:hAnsi="宋体" w:eastAsia="宋体" w:cs="宋体"/>
          <w:b/>
          <w:color w:val="auto"/>
          <w:sz w:val="28"/>
          <w:szCs w:val="28"/>
          <w:highlight w:val="none"/>
          <w:lang w:eastAsia="zh-CN"/>
        </w:rPr>
        <w:t xml:space="preserve"> 日</w:t>
      </w:r>
    </w:p>
    <w:p w14:paraId="5DB9F9CE">
      <w:pPr>
        <w:pStyle w:val="2"/>
        <w:spacing w:line="360" w:lineRule="auto"/>
        <w:jc w:val="center"/>
        <w:rPr>
          <w:rFonts w:hint="eastAsia" w:ascii="宋体" w:hAnsi="宋体" w:eastAsia="宋体" w:cs="宋体"/>
          <w:color w:val="auto"/>
          <w:sz w:val="32"/>
          <w:szCs w:val="32"/>
          <w:highlight w:val="none"/>
        </w:rPr>
      </w:pPr>
      <w:bookmarkStart w:id="61" w:name="_Toc481596017"/>
      <w:bookmarkStart w:id="62" w:name="_Toc11081116"/>
      <w:bookmarkStart w:id="63" w:name="_Toc6189"/>
      <w:bookmarkStart w:id="64" w:name="_Toc24649"/>
      <w:bookmarkStart w:id="65" w:name="_Toc362441698"/>
      <w:bookmarkStart w:id="66" w:name="_Toc17000"/>
      <w:r>
        <w:rPr>
          <w:rFonts w:hint="eastAsia" w:ascii="宋体" w:hAnsi="宋体" w:eastAsia="宋体" w:cs="宋体"/>
          <w:color w:val="auto"/>
          <w:sz w:val="32"/>
          <w:szCs w:val="32"/>
          <w:highlight w:val="none"/>
        </w:rPr>
        <w:t>投标邀请书</w:t>
      </w:r>
      <w:bookmarkEnd w:id="61"/>
      <w:bookmarkEnd w:id="62"/>
      <w:bookmarkEnd w:id="63"/>
      <w:bookmarkEnd w:id="64"/>
      <w:bookmarkEnd w:id="65"/>
      <w:bookmarkEnd w:id="66"/>
    </w:p>
    <w:p w14:paraId="3AF2AA4B">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致：各投标人</w:t>
      </w:r>
    </w:p>
    <w:p w14:paraId="6EAB1817">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 w:val="21"/>
          <w:szCs w:val="21"/>
          <w:highlight w:val="none"/>
        </w:rPr>
        <w:t>根据项目进度，我司拟对</w:t>
      </w:r>
      <w:r>
        <w:rPr>
          <w:rFonts w:hint="eastAsia" w:ascii="宋体" w:hAnsi="宋体" w:eastAsia="宋体" w:cs="宋体"/>
          <w:b/>
          <w:bCs/>
          <w:color w:val="auto"/>
          <w:sz w:val="21"/>
          <w:szCs w:val="21"/>
          <w:highlight w:val="none"/>
          <w:u w:val="single"/>
          <w:lang w:eastAsia="zh-CN"/>
        </w:rPr>
        <w:t>深圳亚洲创建工业园城市更新项目</w:t>
      </w:r>
      <w:r>
        <w:rPr>
          <w:rFonts w:hint="eastAsia" w:hAnsi="宋体" w:cs="宋体"/>
          <w:b/>
          <w:bCs/>
          <w:color w:val="auto"/>
          <w:sz w:val="21"/>
          <w:szCs w:val="21"/>
          <w:highlight w:val="none"/>
          <w:u w:val="single"/>
          <w:lang w:val="en-US" w:eastAsia="zh-CN"/>
        </w:rPr>
        <w:t>空气检测及治理</w:t>
      </w:r>
      <w:r>
        <w:rPr>
          <w:rFonts w:hint="eastAsia" w:ascii="宋体" w:hAnsi="宋体" w:eastAsia="宋体" w:cs="宋体"/>
          <w:b/>
          <w:bCs/>
          <w:color w:val="auto"/>
          <w:sz w:val="21"/>
          <w:szCs w:val="21"/>
          <w:highlight w:val="none"/>
          <w:u w:val="single"/>
          <w:lang w:eastAsia="zh-CN"/>
        </w:rPr>
        <w:t>工程</w:t>
      </w:r>
      <w:r>
        <w:rPr>
          <w:rFonts w:hint="eastAsia" w:ascii="宋体" w:hAnsi="宋体" w:eastAsia="宋体" w:cs="宋体"/>
          <w:color w:val="auto"/>
          <w:sz w:val="21"/>
          <w:szCs w:val="21"/>
          <w:highlight w:val="none"/>
        </w:rPr>
        <w:t>进行招标。现特邀请贵司参与本工程的投标。</w:t>
      </w:r>
    </w:p>
    <w:p w14:paraId="07B1CC3A">
      <w:pPr>
        <w:pStyle w:val="15"/>
        <w:rPr>
          <w:rFonts w:hint="default" w:eastAsia="宋体"/>
          <w:lang w:val="en-US" w:eastAsia="zh-CN"/>
        </w:rPr>
      </w:pPr>
      <w:r>
        <w:rPr>
          <w:rFonts w:hint="eastAsia" w:ascii="宋体" w:hAnsi="宋体" w:eastAsia="宋体" w:cs="宋体"/>
          <w:color w:val="auto"/>
          <w:sz w:val="21"/>
          <w:szCs w:val="21"/>
          <w:highlight w:val="none"/>
        </w:rPr>
        <w:t>招标项目和内容：</w:t>
      </w:r>
      <w:r>
        <w:rPr>
          <w:rFonts w:hint="eastAsia" w:ascii="宋体" w:hAnsi="宋体" w:eastAsia="宋体" w:cs="宋体"/>
          <w:color w:val="auto"/>
          <w:sz w:val="21"/>
          <w:szCs w:val="21"/>
          <w:highlight w:val="none"/>
          <w:lang w:eastAsia="zh-CN"/>
        </w:rPr>
        <w:t>深圳亚洲创建工业园城市更新项目</w:t>
      </w:r>
      <w:r>
        <w:rPr>
          <w:rFonts w:hint="eastAsia" w:hAnsi="宋体" w:cs="宋体"/>
          <w:color w:val="auto"/>
          <w:sz w:val="21"/>
          <w:szCs w:val="21"/>
          <w:highlight w:val="none"/>
          <w:lang w:val="en-US" w:eastAsia="zh-CN"/>
        </w:rPr>
        <w:t>空气检测及治理工程。</w:t>
      </w:r>
    </w:p>
    <w:p w14:paraId="558A8B51">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招标项目和内容：</w:t>
      </w:r>
      <w:r>
        <w:rPr>
          <w:rFonts w:hint="eastAsia" w:ascii="宋体" w:hAnsi="宋体" w:eastAsia="宋体" w:cs="宋体"/>
          <w:b/>
          <w:bCs/>
          <w:color w:val="auto"/>
          <w:sz w:val="21"/>
          <w:szCs w:val="21"/>
          <w:highlight w:val="none"/>
          <w:u w:val="single"/>
          <w:lang w:eastAsia="zh-CN"/>
        </w:rPr>
        <w:t>深圳亚洲创建工业园城市更新项目</w:t>
      </w:r>
      <w:r>
        <w:rPr>
          <w:rFonts w:hint="eastAsia" w:hAnsi="宋体" w:cs="宋体"/>
          <w:b/>
          <w:bCs/>
          <w:color w:val="auto"/>
          <w:sz w:val="21"/>
          <w:szCs w:val="21"/>
          <w:highlight w:val="none"/>
          <w:u w:val="single"/>
          <w:lang w:val="en-US" w:eastAsia="zh-CN"/>
        </w:rPr>
        <w:t>空气检测及治理</w:t>
      </w:r>
      <w:r>
        <w:rPr>
          <w:rFonts w:hint="eastAsia" w:ascii="宋体" w:hAnsi="宋体" w:eastAsia="宋体" w:cs="宋体"/>
          <w:b/>
          <w:bCs/>
          <w:color w:val="auto"/>
          <w:sz w:val="21"/>
          <w:szCs w:val="21"/>
          <w:highlight w:val="none"/>
          <w:u w:val="single"/>
          <w:lang w:eastAsia="zh-CN"/>
        </w:rPr>
        <w:t>工程</w:t>
      </w:r>
      <w:r>
        <w:rPr>
          <w:rFonts w:hint="eastAsia" w:ascii="宋体" w:hAnsi="宋体" w:eastAsia="宋体" w:cs="宋体"/>
          <w:color w:val="auto"/>
          <w:sz w:val="21"/>
          <w:szCs w:val="21"/>
          <w:highlight w:val="none"/>
          <w:lang w:eastAsia="zh-CN"/>
        </w:rPr>
        <w:t>。</w:t>
      </w:r>
    </w:p>
    <w:p w14:paraId="119EA894">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标书的发放时间：</w:t>
      </w:r>
      <w:r>
        <w:rPr>
          <w:rFonts w:hint="eastAsia" w:ascii="宋体" w:hAnsi="宋体" w:eastAsia="宋体" w:cs="宋体"/>
          <w:b/>
          <w:bCs/>
          <w:color w:val="auto"/>
          <w:sz w:val="21"/>
          <w:szCs w:val="21"/>
          <w:highlight w:val="none"/>
          <w:lang w:eastAsia="zh-CN"/>
        </w:rPr>
        <w:t>2026年</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7</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b/>
          <w:bCs/>
          <w:color w:val="auto"/>
          <w:sz w:val="21"/>
          <w:szCs w:val="21"/>
          <w:highlight w:val="none"/>
          <w:lang w:eastAsia="zh-CN"/>
        </w:rPr>
        <w:t>月</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13</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b/>
          <w:bCs/>
          <w:color w:val="auto"/>
          <w:sz w:val="21"/>
          <w:szCs w:val="21"/>
          <w:highlight w:val="none"/>
          <w:lang w:eastAsia="zh-CN"/>
        </w:rPr>
        <w:t>日</w:t>
      </w:r>
      <w:r>
        <w:rPr>
          <w:rFonts w:hint="eastAsia" w:ascii="宋体" w:hAnsi="宋体" w:eastAsia="宋体" w:cs="宋体"/>
          <w:color w:val="auto"/>
          <w:sz w:val="21"/>
          <w:szCs w:val="21"/>
          <w:highlight w:val="none"/>
        </w:rPr>
        <w:t>，标书发放形式：</w:t>
      </w:r>
      <w:r>
        <w:rPr>
          <w:rFonts w:hint="eastAsia" w:hAnsi="宋体" w:cs="宋体"/>
          <w:color w:val="auto"/>
          <w:sz w:val="21"/>
          <w:szCs w:val="21"/>
          <w:highlight w:val="none"/>
          <w:lang w:val="en-US" w:eastAsia="zh-CN"/>
        </w:rPr>
        <w:t>公司官网公布；</w:t>
      </w:r>
      <w:r>
        <w:rPr>
          <w:rFonts w:hint="eastAsia" w:ascii="宋体" w:hAnsi="宋体" w:eastAsia="宋体" w:cs="宋体"/>
          <w:color w:val="auto"/>
          <w:sz w:val="21"/>
          <w:szCs w:val="21"/>
          <w:highlight w:val="none"/>
        </w:rPr>
        <w:t>各投标人需在</w:t>
      </w:r>
      <w:r>
        <w:rPr>
          <w:rFonts w:hint="eastAsia" w:ascii="宋体" w:hAnsi="宋体" w:eastAsia="宋体" w:cs="宋体"/>
          <w:b/>
          <w:bCs/>
          <w:color w:val="auto"/>
          <w:sz w:val="21"/>
          <w:szCs w:val="21"/>
          <w:highlight w:val="none"/>
        </w:rPr>
        <w:t>202</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bidi="ar-SA"/>
          <w:rPrChange w:id="0" w:author="Love~curry~forever" w:date="2026-07-13T17:12:49Z">
            <w:rPr>
              <w:rFonts w:hint="eastAsia" w:ascii="宋体" w:hAnsi="宋体" w:eastAsia="宋体" w:cs="宋体"/>
              <w:b/>
              <w:bCs/>
              <w:color w:val="auto"/>
              <w:sz w:val="21"/>
              <w:szCs w:val="21"/>
              <w:highlight w:val="none"/>
              <w:lang w:val="en-US" w:eastAsia="zh-CN" w:bidi="ar-SA"/>
            </w:rPr>
          </w:rPrChange>
        </w:rPr>
        <w:t xml:space="preserve"> </w:t>
      </w:r>
      <w:r>
        <w:rPr>
          <w:rFonts w:hint="eastAsia" w:ascii="宋体" w:hAnsi="宋体" w:eastAsia="宋体" w:cs="宋体"/>
          <w:color w:val="auto"/>
          <w:sz w:val="21"/>
          <w:szCs w:val="21"/>
          <w:highlight w:val="none"/>
        </w:rPr>
        <w:t>月</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15</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color w:val="auto"/>
          <w:sz w:val="21"/>
          <w:szCs w:val="21"/>
          <w:highlight w:val="none"/>
        </w:rPr>
        <w:t>日前</w:t>
      </w:r>
      <w:r>
        <w:rPr>
          <w:rFonts w:hint="eastAsia" w:ascii="宋体" w:hAnsi="宋体" w:eastAsia="宋体" w:cs="宋体"/>
          <w:b/>
          <w:bCs/>
          <w:color w:val="auto"/>
          <w:sz w:val="21"/>
          <w:szCs w:val="21"/>
          <w:highlight w:val="none"/>
        </w:rPr>
        <w:t>《确认回执》</w:t>
      </w:r>
      <w:r>
        <w:rPr>
          <w:rFonts w:hint="eastAsia" w:ascii="宋体" w:hAnsi="宋体" w:eastAsia="宋体" w:cs="宋体"/>
          <w:b/>
          <w:bCs/>
          <w:color w:val="auto"/>
          <w:sz w:val="21"/>
          <w:szCs w:val="21"/>
          <w:highlight w:val="none"/>
          <w:lang w:eastAsia="zh-CN"/>
        </w:rPr>
        <w:t>内容</w:t>
      </w:r>
      <w:r>
        <w:rPr>
          <w:rFonts w:hint="eastAsia" w:ascii="宋体" w:hAnsi="宋体" w:eastAsia="宋体" w:cs="宋体"/>
          <w:b/>
          <w:bCs/>
          <w:color w:val="auto"/>
          <w:sz w:val="21"/>
          <w:szCs w:val="21"/>
          <w:highlight w:val="none"/>
        </w:rPr>
        <w:t>以邮件的方式</w:t>
      </w:r>
      <w:r>
        <w:rPr>
          <w:rFonts w:hint="eastAsia" w:ascii="宋体" w:hAnsi="宋体" w:eastAsia="宋体" w:cs="宋体"/>
          <w:color w:val="auto"/>
          <w:sz w:val="21"/>
          <w:szCs w:val="21"/>
          <w:highlight w:val="none"/>
        </w:rPr>
        <w:t>发给招标联系人，截标时将</w:t>
      </w:r>
      <w:r>
        <w:rPr>
          <w:rFonts w:hint="eastAsia" w:ascii="宋体" w:hAnsi="宋体" w:eastAsia="宋体" w:cs="宋体"/>
          <w:b w:val="0"/>
          <w:bCs w:val="0"/>
          <w:color w:val="auto"/>
          <w:sz w:val="21"/>
          <w:szCs w:val="21"/>
          <w:highlight w:val="none"/>
        </w:rPr>
        <w:t>《确认回执》</w:t>
      </w:r>
      <w:r>
        <w:rPr>
          <w:rFonts w:hint="eastAsia" w:ascii="宋体" w:hAnsi="宋体" w:eastAsia="宋体" w:cs="宋体"/>
          <w:b w:val="0"/>
          <w:bCs w:val="0"/>
          <w:color w:val="auto"/>
          <w:sz w:val="21"/>
          <w:szCs w:val="21"/>
          <w:highlight w:val="none"/>
          <w:lang w:eastAsia="zh-CN"/>
        </w:rPr>
        <w:t>盖章</w:t>
      </w:r>
      <w:r>
        <w:rPr>
          <w:rFonts w:hint="eastAsia" w:ascii="宋体" w:hAnsi="宋体" w:eastAsia="宋体" w:cs="宋体"/>
          <w:b w:val="0"/>
          <w:bCs w:val="0"/>
          <w:color w:val="auto"/>
          <w:sz w:val="21"/>
          <w:szCs w:val="21"/>
          <w:highlight w:val="none"/>
        </w:rPr>
        <w:t>原件</w:t>
      </w:r>
      <w:r>
        <w:rPr>
          <w:rFonts w:hint="eastAsia" w:ascii="宋体" w:hAnsi="宋体" w:eastAsia="宋体" w:cs="宋体"/>
          <w:color w:val="auto"/>
          <w:sz w:val="21"/>
          <w:szCs w:val="21"/>
          <w:highlight w:val="none"/>
        </w:rPr>
        <w:t>连同标书一起递交。</w:t>
      </w:r>
    </w:p>
    <w:p w14:paraId="008AA31D">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招标答疑时间：详见《投标须知前附表》</w:t>
      </w:r>
      <w:r>
        <w:rPr>
          <w:rFonts w:hint="eastAsia" w:ascii="宋体" w:hAnsi="宋体" w:eastAsia="宋体" w:cs="宋体"/>
          <w:color w:val="auto"/>
          <w:sz w:val="21"/>
          <w:szCs w:val="21"/>
          <w:highlight w:val="none"/>
          <w:lang w:eastAsia="zh-CN"/>
        </w:rPr>
        <w:t>。</w:t>
      </w:r>
    </w:p>
    <w:p w14:paraId="68FED820">
      <w:pPr>
        <w:pStyle w:val="27"/>
        <w:numPr>
          <w:ilvl w:val="-1"/>
          <w:numId w:val="0"/>
        </w:numPr>
        <w:spacing w:line="360" w:lineRule="auto"/>
        <w:ind w:left="0" w:leftChars="0" w:firstLine="420" w:firstLineChars="200"/>
        <w:jc w:val="both"/>
        <w:rPr>
          <w:rFonts w:hint="eastAsia" w:ascii="宋体" w:hAnsi="宋体" w:eastAsia="宋体" w:cs="宋体"/>
          <w:color w:val="auto"/>
          <w:sz w:val="21"/>
          <w:szCs w:val="21"/>
          <w:highlight w:val="yellow"/>
        </w:rPr>
      </w:pPr>
      <w:r>
        <w:rPr>
          <w:rFonts w:hint="eastAsia" w:hAnsi="宋体" w:cs="宋体"/>
          <w:color w:val="auto"/>
          <w:sz w:val="21"/>
          <w:szCs w:val="21"/>
          <w:highlight w:val="none"/>
          <w:lang w:val="en-US" w:eastAsia="zh-CN"/>
        </w:rPr>
        <w:t xml:space="preserve">4.   </w:t>
      </w:r>
      <w:r>
        <w:rPr>
          <w:rFonts w:hint="eastAsia" w:ascii="宋体" w:hAnsi="宋体" w:eastAsia="宋体" w:cs="宋体"/>
          <w:color w:val="auto"/>
          <w:sz w:val="21"/>
          <w:szCs w:val="21"/>
          <w:highlight w:val="none"/>
        </w:rPr>
        <w:t>投标截止时间：</w:t>
      </w:r>
      <w:r>
        <w:rPr>
          <w:rFonts w:hint="eastAsia" w:ascii="宋体" w:hAnsi="宋体" w:eastAsia="宋体" w:cs="宋体"/>
          <w:b/>
          <w:bCs/>
          <w:color w:val="auto"/>
          <w:sz w:val="21"/>
          <w:szCs w:val="21"/>
          <w:highlight w:val="none"/>
        </w:rPr>
        <w:t>202</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7</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color w:val="auto"/>
          <w:sz w:val="21"/>
          <w:szCs w:val="21"/>
          <w:highlight w:val="none"/>
        </w:rPr>
        <w:t>月</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 xml:space="preserve">20 </w:t>
      </w:r>
      <w:r>
        <w:rPr>
          <w:rFonts w:hint="eastAsia" w:ascii="宋体" w:hAnsi="宋体" w:eastAsia="宋体" w:cs="宋体"/>
          <w:color w:val="auto"/>
          <w:sz w:val="21"/>
          <w:szCs w:val="21"/>
          <w:highlight w:val="none"/>
        </w:rPr>
        <w:t>日下午</w:t>
      </w:r>
      <w:r>
        <w:rPr>
          <w:rFonts w:hint="eastAsia" w:ascii="宋体" w:hAnsi="宋体" w:eastAsia="宋体" w:cs="宋体"/>
          <w:b/>
          <w:bCs/>
          <w:color w:val="auto"/>
          <w:sz w:val="21"/>
          <w:szCs w:val="21"/>
          <w:highlight w:val="none"/>
          <w:lang w:val="en-US" w:eastAsia="zh-CN" w:bidi="ar-SA"/>
        </w:rPr>
        <w:t xml:space="preserve"> 18：00  </w:t>
      </w:r>
      <w:r>
        <w:rPr>
          <w:rFonts w:hint="eastAsia" w:ascii="宋体" w:hAnsi="宋体" w:eastAsia="宋体" w:cs="宋体"/>
          <w:color w:val="auto"/>
          <w:sz w:val="21"/>
          <w:szCs w:val="21"/>
          <w:highlight w:val="none"/>
        </w:rPr>
        <w:t>前。</w:t>
      </w:r>
    </w:p>
    <w:p w14:paraId="27C58400">
      <w:pPr>
        <w:pStyle w:val="27"/>
        <w:numPr>
          <w:ilvl w:val="-1"/>
          <w:numId w:val="0"/>
        </w:numPr>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 xml:space="preserve">5.   </w:t>
      </w:r>
      <w:bookmarkStart w:id="187" w:name="_GoBack"/>
      <w:bookmarkEnd w:id="187"/>
      <w:r>
        <w:rPr>
          <w:rFonts w:hint="eastAsia" w:ascii="宋体" w:hAnsi="宋体" w:eastAsia="宋体" w:cs="宋体"/>
          <w:color w:val="auto"/>
          <w:sz w:val="21"/>
          <w:szCs w:val="21"/>
          <w:highlight w:val="none"/>
          <w:lang w:val="en-US" w:eastAsia="zh-CN"/>
        </w:rPr>
        <w:t>标书</w:t>
      </w:r>
      <w:r>
        <w:rPr>
          <w:rFonts w:hint="eastAsia" w:ascii="宋体" w:hAnsi="宋体" w:eastAsia="宋体" w:cs="宋体"/>
          <w:color w:val="auto"/>
          <w:sz w:val="21"/>
          <w:szCs w:val="21"/>
          <w:highlight w:val="none"/>
        </w:rPr>
        <w:t>投递标书地点：</w:t>
      </w:r>
      <w:r>
        <w:rPr>
          <w:rFonts w:hint="eastAsia" w:ascii="宋体" w:hAnsi="宋体" w:eastAsia="宋体" w:cs="宋体"/>
          <w:b/>
          <w:bCs/>
          <w:color w:val="auto"/>
          <w:sz w:val="21"/>
          <w:szCs w:val="21"/>
          <w:highlight w:val="none"/>
          <w:lang w:val="en-US" w:eastAsia="zh-CN" w:bidi="ar-SA"/>
        </w:rPr>
        <w:t xml:space="preserve"> 深圳市宝安区福海街道和平社区重庆路12号大族激光智造中心3栋7楼  </w:t>
      </w:r>
    </w:p>
    <w:p w14:paraId="34D9DA6A">
      <w:pPr>
        <w:pStyle w:val="27"/>
        <w:numPr>
          <w:ilvl w:val="-1"/>
          <w:numId w:val="0"/>
        </w:numPr>
        <w:spacing w:line="360" w:lineRule="auto"/>
        <w:ind w:left="0" w:leftChars="0" w:firstLine="420" w:firstLineChars="200"/>
        <w:jc w:val="both"/>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 xml:space="preserve">6.  </w:t>
      </w:r>
      <w:r>
        <w:rPr>
          <w:rFonts w:hint="eastAsia" w:ascii="宋体" w:hAnsi="宋体" w:eastAsia="宋体" w:cs="宋体"/>
          <w:color w:val="auto"/>
          <w:sz w:val="21"/>
          <w:szCs w:val="21"/>
          <w:highlight w:val="none"/>
        </w:rPr>
        <w:t>本次招标不收取图纸押金，不收取招标文件工本费。</w:t>
      </w:r>
      <w:r>
        <w:rPr>
          <w:rFonts w:hint="eastAsia" w:hAnsi="宋体" w:cs="宋体"/>
          <w:color w:val="auto"/>
          <w:sz w:val="21"/>
          <w:szCs w:val="21"/>
          <w:highlight w:val="none"/>
          <w:lang w:val="en-US" w:eastAsia="zh-CN"/>
        </w:rPr>
        <w:t xml:space="preserve">  </w:t>
      </w:r>
    </w:p>
    <w:p w14:paraId="20C6F21C">
      <w:pPr>
        <w:pStyle w:val="27"/>
        <w:numPr>
          <w:ilvl w:val="-1"/>
          <w:numId w:val="0"/>
        </w:numPr>
        <w:ind w:leftChars="0" w:firstLine="420" w:firstLineChars="200"/>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 xml:space="preserve">7.  </w:t>
      </w:r>
      <w:r>
        <w:rPr>
          <w:rFonts w:hint="eastAsia" w:ascii="宋体" w:hAnsi="宋体" w:eastAsia="宋体" w:cs="宋体"/>
          <w:color w:val="auto"/>
          <w:sz w:val="21"/>
          <w:szCs w:val="21"/>
          <w:highlight w:val="none"/>
        </w:rPr>
        <w:t>无论投标人中标与否，均应自行承担参加本次招标活动所发生的费用。</w:t>
      </w:r>
    </w:p>
    <w:p w14:paraId="00124FF2">
      <w:pPr>
        <w:numPr>
          <w:ilvl w:val="-1"/>
          <w:numId w:val="0"/>
        </w:numPr>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 xml:space="preserve">8.  </w:t>
      </w:r>
      <w:r>
        <w:rPr>
          <w:rFonts w:hint="eastAsia" w:ascii="宋体" w:hAnsi="宋体" w:eastAsia="宋体" w:cs="宋体"/>
          <w:color w:val="auto"/>
          <w:sz w:val="21"/>
          <w:szCs w:val="21"/>
          <w:highlight w:val="none"/>
        </w:rPr>
        <w:t>招</w:t>
      </w:r>
      <w:r>
        <w:rPr>
          <w:rFonts w:hint="eastAsia" w:ascii="宋体" w:hAnsi="宋体" w:eastAsia="宋体" w:cs="宋体"/>
          <w:color w:val="auto"/>
          <w:sz w:val="21"/>
          <w:szCs w:val="21"/>
          <w:highlight w:val="none"/>
          <w:lang w:val="en-US" w:eastAsia="zh-CN"/>
        </w:rPr>
        <w:t>投</w:t>
      </w:r>
      <w:r>
        <w:rPr>
          <w:rFonts w:hint="eastAsia" w:ascii="宋体" w:hAnsi="宋体" w:eastAsia="宋体" w:cs="宋体"/>
          <w:color w:val="auto"/>
          <w:sz w:val="21"/>
          <w:szCs w:val="21"/>
          <w:highlight w:val="none"/>
        </w:rPr>
        <w:t>标联系人：</w:t>
      </w:r>
      <w:r>
        <w:rPr>
          <w:rFonts w:hint="eastAsia" w:ascii="宋体" w:hAnsi="宋体" w:eastAsia="宋体" w:cs="宋体"/>
          <w:b/>
          <w:bCs/>
          <w:color w:val="auto"/>
          <w:sz w:val="21"/>
          <w:szCs w:val="21"/>
          <w:highlight w:val="none"/>
          <w:lang w:val="en-US" w:eastAsia="zh-CN"/>
        </w:rPr>
        <w:t xml:space="preserve"> 崔庆华</w:t>
      </w:r>
      <w:r>
        <w:rPr>
          <w:rFonts w:hint="eastAsia" w:hAnsi="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val="en-US" w:eastAsia="zh-CN"/>
        </w:rPr>
        <w:t>19353406904   cuiqh203749@hanscnc.com</w:t>
      </w:r>
    </w:p>
    <w:p w14:paraId="3829F4FA">
      <w:pPr>
        <w:pStyle w:val="27"/>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地址：</w:t>
      </w:r>
      <w:r>
        <w:rPr>
          <w:rFonts w:hint="eastAsia" w:ascii="宋体" w:hAnsi="宋体" w:eastAsia="宋体" w:cs="宋体"/>
          <w:b/>
          <w:bCs/>
          <w:color w:val="auto"/>
          <w:sz w:val="21"/>
          <w:szCs w:val="21"/>
          <w:highlight w:val="none"/>
          <w:lang w:val="en-US" w:eastAsia="zh-CN" w:bidi="ar-SA"/>
        </w:rPr>
        <w:t xml:space="preserve">  深圳市宝安区福海街道和平社区重庆路12号大族激光智造中心3栋7楼           </w:t>
      </w:r>
    </w:p>
    <w:p w14:paraId="42C9B9A4">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461515C9">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1E34E070">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1FBAA20C">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1D2E3924">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7F133862">
      <w:pPr>
        <w:tabs>
          <w:tab w:val="left" w:pos="1440"/>
        </w:tabs>
        <w:spacing w:line="360" w:lineRule="auto"/>
        <w:ind w:firstLine="420" w:firstLineChars="200"/>
        <w:jc w:val="both"/>
        <w:rPr>
          <w:rFonts w:hint="eastAsia" w:ascii="宋体" w:hAnsi="宋体" w:eastAsia="宋体" w:cs="宋体"/>
          <w:color w:val="auto"/>
          <w:sz w:val="21"/>
          <w:szCs w:val="21"/>
          <w:highlight w:val="none"/>
          <w:u w:val="single"/>
        </w:rPr>
      </w:pPr>
    </w:p>
    <w:p w14:paraId="131E05D4">
      <w:pPr>
        <w:tabs>
          <w:tab w:val="left" w:pos="1440"/>
        </w:tabs>
        <w:spacing w:before="120" w:beforeLines="50" w:line="360" w:lineRule="auto"/>
        <w:ind w:firstLine="5040" w:firstLineChars="24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招标人：</w:t>
      </w:r>
      <w:r>
        <w:rPr>
          <w:rFonts w:hint="eastAsia" w:ascii="宋体" w:hAnsi="宋体" w:eastAsia="宋体" w:cs="宋体"/>
          <w:color w:val="auto"/>
          <w:sz w:val="21"/>
          <w:szCs w:val="21"/>
          <w:highlight w:val="none"/>
          <w:lang w:val="en-US" w:eastAsia="zh-CN"/>
        </w:rPr>
        <w:t>深圳市大族数控科技股份有限公司</w:t>
      </w:r>
    </w:p>
    <w:p w14:paraId="090C7D62">
      <w:pPr>
        <w:tabs>
          <w:tab w:val="left" w:pos="1440"/>
        </w:tabs>
        <w:spacing w:before="120" w:beforeLines="50" w:line="360" w:lineRule="auto"/>
        <w:ind w:firstLine="5565" w:firstLineChars="2650"/>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期：</w:t>
      </w:r>
      <w:r>
        <w:rPr>
          <w:rFonts w:hint="eastAsia" w:ascii="宋体" w:hAnsi="宋体" w:eastAsia="宋体" w:cs="宋体"/>
          <w:color w:val="auto"/>
          <w:sz w:val="21"/>
          <w:szCs w:val="21"/>
          <w:highlight w:val="none"/>
          <w:lang w:eastAsia="zh-CN"/>
        </w:rPr>
        <w:t>2026年</w:t>
      </w:r>
      <w:r>
        <w:rPr>
          <w:rFonts w:hint="eastAsia" w:hAnsi="宋体" w:cs="宋体"/>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月</w:t>
      </w:r>
      <w:r>
        <w:rPr>
          <w:rFonts w:hint="eastAsia" w:hAnsi="宋体" w:cs="宋体"/>
          <w:b w:val="0"/>
          <w:bCs w:val="0"/>
          <w:color w:val="auto"/>
          <w:sz w:val="21"/>
          <w:szCs w:val="21"/>
          <w:highlight w:val="none"/>
          <w:lang w:val="en-US" w:eastAsia="zh-CN"/>
        </w:rPr>
        <w:t xml:space="preserve"> 13 </w:t>
      </w:r>
      <w:r>
        <w:rPr>
          <w:rFonts w:hint="eastAsia" w:ascii="宋体" w:hAnsi="宋体" w:eastAsia="宋体" w:cs="宋体"/>
          <w:b w:val="0"/>
          <w:bCs w:val="0"/>
          <w:color w:val="auto"/>
          <w:sz w:val="21"/>
          <w:szCs w:val="21"/>
          <w:highlight w:val="none"/>
          <w:lang w:eastAsia="zh-CN"/>
        </w:rPr>
        <w:t>日</w:t>
      </w:r>
    </w:p>
    <w:p w14:paraId="1F21707E">
      <w:pPr>
        <w:tabs>
          <w:tab w:val="left" w:pos="1440"/>
        </w:tabs>
        <w:spacing w:line="360" w:lineRule="auto"/>
        <w:ind w:left="786"/>
        <w:jc w:val="right"/>
        <w:rPr>
          <w:rFonts w:hint="eastAsia" w:ascii="宋体" w:hAnsi="宋体" w:eastAsia="宋体" w:cs="宋体"/>
          <w:color w:val="auto"/>
          <w:sz w:val="21"/>
          <w:szCs w:val="21"/>
          <w:highlight w:val="none"/>
        </w:rPr>
      </w:pPr>
    </w:p>
    <w:p w14:paraId="40670E24">
      <w:pPr>
        <w:tabs>
          <w:tab w:val="left" w:pos="1440"/>
        </w:tabs>
        <w:spacing w:line="360" w:lineRule="auto"/>
        <w:ind w:left="786"/>
        <w:jc w:val="right"/>
        <w:rPr>
          <w:rFonts w:hint="eastAsia" w:ascii="宋体" w:hAnsi="宋体" w:eastAsia="宋体" w:cs="宋体"/>
          <w:color w:val="auto"/>
          <w:sz w:val="21"/>
          <w:szCs w:val="21"/>
          <w:highlight w:val="none"/>
        </w:rPr>
      </w:pPr>
    </w:p>
    <w:p w14:paraId="4BCF9F58">
      <w:pPr>
        <w:tabs>
          <w:tab w:val="left" w:pos="1440"/>
        </w:tabs>
        <w:spacing w:line="360" w:lineRule="auto"/>
        <w:ind w:left="786"/>
        <w:jc w:val="right"/>
        <w:rPr>
          <w:rFonts w:hint="eastAsia" w:ascii="宋体" w:hAnsi="宋体" w:eastAsia="宋体" w:cs="宋体"/>
          <w:color w:val="auto"/>
          <w:sz w:val="21"/>
          <w:szCs w:val="21"/>
          <w:highlight w:val="none"/>
        </w:rPr>
      </w:pPr>
    </w:p>
    <w:p w14:paraId="1B538B50">
      <w:pPr>
        <w:tabs>
          <w:tab w:val="left" w:pos="1440"/>
        </w:tabs>
        <w:spacing w:line="360" w:lineRule="auto"/>
        <w:ind w:left="786"/>
        <w:jc w:val="right"/>
        <w:rPr>
          <w:rFonts w:hint="eastAsia" w:ascii="宋体" w:hAnsi="宋体" w:eastAsia="宋体" w:cs="宋体"/>
          <w:color w:val="auto"/>
          <w:sz w:val="21"/>
          <w:szCs w:val="21"/>
          <w:highlight w:val="none"/>
        </w:rPr>
      </w:pPr>
    </w:p>
    <w:p w14:paraId="124BE122">
      <w:pPr>
        <w:tabs>
          <w:tab w:val="left" w:pos="1440"/>
        </w:tabs>
        <w:spacing w:line="360" w:lineRule="auto"/>
        <w:ind w:left="786"/>
        <w:jc w:val="right"/>
        <w:rPr>
          <w:rFonts w:hint="eastAsia" w:ascii="宋体" w:hAnsi="宋体" w:eastAsia="宋体" w:cs="宋体"/>
          <w:color w:val="auto"/>
          <w:sz w:val="21"/>
          <w:szCs w:val="21"/>
          <w:highlight w:val="none"/>
        </w:rPr>
      </w:pPr>
    </w:p>
    <w:p w14:paraId="1C01DF2C">
      <w:pPr>
        <w:tabs>
          <w:tab w:val="left" w:pos="1440"/>
        </w:tabs>
        <w:spacing w:line="360" w:lineRule="auto"/>
        <w:ind w:left="786"/>
        <w:jc w:val="right"/>
        <w:rPr>
          <w:rFonts w:hint="eastAsia" w:ascii="宋体" w:hAnsi="宋体" w:eastAsia="宋体" w:cs="宋体"/>
          <w:color w:val="auto"/>
          <w:sz w:val="21"/>
          <w:szCs w:val="21"/>
          <w:highlight w:val="none"/>
        </w:rPr>
      </w:pPr>
    </w:p>
    <w:p w14:paraId="4F6DD6B2">
      <w:pPr>
        <w:tabs>
          <w:tab w:val="left" w:pos="1440"/>
        </w:tabs>
        <w:spacing w:line="360" w:lineRule="auto"/>
        <w:ind w:left="786"/>
        <w:jc w:val="right"/>
        <w:rPr>
          <w:rFonts w:hint="eastAsia" w:ascii="宋体" w:hAnsi="宋体" w:eastAsia="宋体" w:cs="宋体"/>
          <w:color w:val="auto"/>
          <w:sz w:val="21"/>
          <w:szCs w:val="21"/>
          <w:highlight w:val="none"/>
        </w:rPr>
      </w:pPr>
    </w:p>
    <w:p w14:paraId="6864549B">
      <w:pPr>
        <w:tabs>
          <w:tab w:val="left" w:pos="1440"/>
        </w:tabs>
        <w:spacing w:line="360" w:lineRule="auto"/>
        <w:ind w:left="786"/>
        <w:jc w:val="right"/>
        <w:rPr>
          <w:rFonts w:hint="eastAsia" w:ascii="宋体" w:hAnsi="宋体" w:eastAsia="宋体" w:cs="宋体"/>
          <w:color w:val="auto"/>
          <w:sz w:val="21"/>
          <w:szCs w:val="21"/>
          <w:highlight w:val="none"/>
        </w:rPr>
      </w:pPr>
    </w:p>
    <w:p w14:paraId="70C7ADE7">
      <w:pPr>
        <w:tabs>
          <w:tab w:val="left" w:pos="1440"/>
        </w:tabs>
        <w:spacing w:line="360" w:lineRule="auto"/>
        <w:ind w:left="786"/>
        <w:jc w:val="right"/>
        <w:rPr>
          <w:rFonts w:hint="eastAsia" w:ascii="宋体" w:hAnsi="宋体" w:eastAsia="宋体" w:cs="宋体"/>
          <w:color w:val="auto"/>
          <w:sz w:val="21"/>
          <w:szCs w:val="21"/>
          <w:highlight w:val="none"/>
        </w:rPr>
      </w:pPr>
    </w:p>
    <w:p w14:paraId="53A8FCB1">
      <w:pPr>
        <w:pStyle w:val="2"/>
        <w:spacing w:line="360" w:lineRule="auto"/>
        <w:jc w:val="center"/>
        <w:rPr>
          <w:rFonts w:hint="eastAsia" w:ascii="宋体" w:hAnsi="宋体" w:eastAsia="宋体" w:cs="宋体"/>
          <w:color w:val="auto"/>
          <w:sz w:val="32"/>
          <w:szCs w:val="21"/>
          <w:highlight w:val="none"/>
        </w:rPr>
      </w:pPr>
      <w:bookmarkStart w:id="67" w:name="_Toc26033"/>
      <w:bookmarkStart w:id="68" w:name="_Toc11081117"/>
      <w:bookmarkStart w:id="69" w:name="_Toc362441699"/>
      <w:bookmarkStart w:id="70" w:name="_Toc11587"/>
      <w:bookmarkStart w:id="71" w:name="_Toc481596018"/>
      <w:r>
        <w:rPr>
          <w:rFonts w:hint="eastAsia" w:ascii="宋体" w:hAnsi="宋体" w:eastAsia="宋体" w:cs="宋体"/>
          <w:color w:val="auto"/>
          <w:sz w:val="32"/>
          <w:szCs w:val="21"/>
          <w:highlight w:val="none"/>
        </w:rPr>
        <w:t>确认回执</w:t>
      </w:r>
      <w:bookmarkEnd w:id="67"/>
      <w:bookmarkEnd w:id="68"/>
      <w:bookmarkEnd w:id="69"/>
      <w:bookmarkEnd w:id="70"/>
      <w:bookmarkEnd w:id="71"/>
    </w:p>
    <w:p w14:paraId="7F19F554">
      <w:pPr>
        <w:spacing w:line="360" w:lineRule="auto"/>
        <w:rPr>
          <w:rFonts w:hint="eastAsia" w:ascii="宋体" w:hAnsi="宋体" w:eastAsia="宋体" w:cs="宋体"/>
          <w:color w:val="auto"/>
          <w:sz w:val="21"/>
          <w:szCs w:val="21"/>
          <w:highlight w:val="none"/>
        </w:rPr>
      </w:pPr>
    </w:p>
    <w:p w14:paraId="46BC8D78">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lang w:val="en-US" w:eastAsia="zh-CN"/>
        </w:rPr>
        <w:t>深圳市大族数控科技股份有限公司</w:t>
      </w:r>
    </w:p>
    <w:p w14:paraId="25B55B86">
      <w:pP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经我司研究，决定</w:t>
      </w:r>
      <w:r>
        <w:rPr>
          <w:rFonts w:hint="eastAsia" w:hAnsi="宋体" w:cs="宋体"/>
          <w:color w:val="auto"/>
          <w:szCs w:val="21"/>
          <w:highlight w:val="none"/>
          <w:lang w:eastAsia="zh-CN"/>
        </w:rPr>
        <w:t>□</w:t>
      </w:r>
      <w:r>
        <w:rPr>
          <w:rFonts w:hint="eastAsia" w:ascii="宋体" w:hAnsi="宋体" w:eastAsia="宋体" w:cs="宋体"/>
          <w:color w:val="auto"/>
          <w:szCs w:val="21"/>
          <w:highlight w:val="none"/>
        </w:rPr>
        <w:t xml:space="preserve"> 参 与 </w:t>
      </w:r>
      <w:r>
        <w:rPr>
          <w:rFonts w:hint="eastAsia" w:hAnsi="宋体" w:cs="宋体"/>
          <w:color w:val="auto"/>
          <w:szCs w:val="21"/>
          <w:highlight w:val="none"/>
          <w:lang w:eastAsia="zh-CN"/>
        </w:rPr>
        <w:t>□</w:t>
      </w:r>
      <w:r>
        <w:rPr>
          <w:rFonts w:hint="eastAsia" w:ascii="宋体" w:hAnsi="宋体" w:eastAsia="宋体" w:cs="宋体"/>
          <w:color w:val="auto"/>
          <w:szCs w:val="21"/>
          <w:highlight w:val="none"/>
        </w:rPr>
        <w:t xml:space="preserve"> 不 参 与贵司</w:t>
      </w:r>
      <w:r>
        <w:rPr>
          <w:rFonts w:hint="eastAsia" w:ascii="宋体" w:hAnsi="宋体" w:eastAsia="宋体" w:cs="宋体"/>
          <w:color w:val="auto"/>
          <w:szCs w:val="21"/>
          <w:highlight w:val="none"/>
          <w:u w:val="single"/>
          <w:lang w:eastAsia="zh-CN"/>
        </w:rPr>
        <w:t>深圳亚洲创建工业园城市更新项目</w:t>
      </w:r>
      <w:r>
        <w:rPr>
          <w:rFonts w:hint="eastAsia" w:hAnsi="宋体" w:cs="宋体"/>
          <w:color w:val="auto"/>
          <w:szCs w:val="21"/>
          <w:highlight w:val="none"/>
          <w:u w:val="single"/>
          <w:lang w:val="en-US" w:eastAsia="zh-CN"/>
        </w:rPr>
        <w:t>空气检测及治理</w:t>
      </w:r>
      <w:r>
        <w:rPr>
          <w:rFonts w:hint="eastAsia" w:ascii="宋体" w:hAnsi="宋体" w:eastAsia="宋体" w:cs="宋体"/>
          <w:color w:val="auto"/>
          <w:szCs w:val="21"/>
          <w:highlight w:val="none"/>
          <w:u w:val="single"/>
        </w:rPr>
        <w:t>工程</w:t>
      </w:r>
      <w:r>
        <w:rPr>
          <w:rFonts w:hint="eastAsia" w:ascii="宋体" w:hAnsi="宋体" w:eastAsia="宋体" w:cs="宋体"/>
          <w:color w:val="auto"/>
          <w:szCs w:val="21"/>
          <w:highlight w:val="none"/>
        </w:rPr>
        <w:t>投标。同时，我司郑重承诺，我司将秉持公正、诚信的态度，按</w:t>
      </w:r>
      <w:r>
        <w:rPr>
          <w:rFonts w:hint="eastAsia" w:hAnsi="宋体" w:cs="宋体"/>
          <w:color w:val="auto"/>
          <w:szCs w:val="21"/>
          <w:highlight w:val="none"/>
          <w:lang w:val="en-US" w:eastAsia="zh-CN"/>
        </w:rPr>
        <w:t>招标文件</w:t>
      </w:r>
      <w:r>
        <w:rPr>
          <w:rFonts w:hint="eastAsia" w:ascii="宋体" w:hAnsi="宋体" w:eastAsia="宋体" w:cs="宋体"/>
          <w:color w:val="auto"/>
          <w:szCs w:val="21"/>
          <w:highlight w:val="none"/>
        </w:rPr>
        <w:t>要求组织最精干人员全程参与贵司项目的投标工作，并严格遵守贵司的招标纪律和积极响应贵司的招标需求。</w:t>
      </w:r>
    </w:p>
    <w:p w14:paraId="55C2FEE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特此复函！</w:t>
      </w:r>
    </w:p>
    <w:p w14:paraId="6977411A">
      <w:pPr>
        <w:spacing w:line="360" w:lineRule="auto"/>
        <w:rPr>
          <w:rFonts w:hint="eastAsia" w:ascii="宋体" w:hAnsi="宋体" w:eastAsia="宋体" w:cs="宋体"/>
          <w:color w:val="auto"/>
          <w:sz w:val="21"/>
          <w:szCs w:val="21"/>
          <w:highlight w:val="none"/>
        </w:rPr>
      </w:pPr>
    </w:p>
    <w:p w14:paraId="012E5A58">
      <w:pPr>
        <w:tabs>
          <w:tab w:val="left" w:pos="1440"/>
        </w:tabs>
        <w:wordWrap w:val="0"/>
        <w:spacing w:line="360" w:lineRule="auto"/>
        <w:ind w:left="786"/>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投标人：                        </w:t>
      </w:r>
    </w:p>
    <w:p w14:paraId="786F7FDD">
      <w:pPr>
        <w:tabs>
          <w:tab w:val="left" w:pos="1440"/>
        </w:tabs>
        <w:wordWrap w:val="0"/>
        <w:spacing w:line="360" w:lineRule="auto"/>
        <w:ind w:left="786"/>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1333ED55">
      <w:pPr>
        <w:spacing w:line="360" w:lineRule="auto"/>
        <w:jc w:val="center"/>
        <w:rPr>
          <w:rFonts w:hint="eastAsia" w:ascii="宋体" w:hAnsi="宋体" w:eastAsia="宋体" w:cs="宋体"/>
          <w:color w:val="auto"/>
          <w:sz w:val="21"/>
          <w:szCs w:val="21"/>
          <w:highlight w:val="none"/>
        </w:rPr>
      </w:pPr>
    </w:p>
    <w:p w14:paraId="4ECD3D32">
      <w:pPr>
        <w:spacing w:line="360" w:lineRule="auto"/>
        <w:jc w:val="center"/>
        <w:rPr>
          <w:rFonts w:hint="eastAsia" w:ascii="宋体" w:hAnsi="宋体" w:eastAsia="宋体" w:cs="宋体"/>
          <w:color w:val="auto"/>
          <w:sz w:val="21"/>
          <w:szCs w:val="21"/>
          <w:highlight w:val="none"/>
        </w:rPr>
      </w:pPr>
    </w:p>
    <w:p w14:paraId="5DD6B939">
      <w:pPr>
        <w:spacing w:line="360" w:lineRule="auto"/>
        <w:jc w:val="center"/>
        <w:rPr>
          <w:rFonts w:hint="eastAsia" w:ascii="宋体" w:hAnsi="宋体" w:eastAsia="宋体" w:cs="宋体"/>
          <w:color w:val="auto"/>
          <w:sz w:val="21"/>
          <w:szCs w:val="21"/>
          <w:highlight w:val="none"/>
        </w:rPr>
      </w:pPr>
    </w:p>
    <w:p w14:paraId="1A2F8784">
      <w:pPr>
        <w:spacing w:line="360" w:lineRule="auto"/>
        <w:jc w:val="center"/>
        <w:rPr>
          <w:rFonts w:hint="eastAsia" w:ascii="宋体" w:hAnsi="宋体" w:eastAsia="宋体" w:cs="宋体"/>
          <w:color w:val="auto"/>
          <w:sz w:val="21"/>
          <w:szCs w:val="21"/>
          <w:highlight w:val="none"/>
        </w:rPr>
      </w:pPr>
    </w:p>
    <w:p w14:paraId="30CE8F36">
      <w:pPr>
        <w:spacing w:line="360" w:lineRule="auto"/>
        <w:jc w:val="center"/>
        <w:rPr>
          <w:rFonts w:hint="eastAsia" w:ascii="宋体" w:hAnsi="宋体" w:eastAsia="宋体" w:cs="宋体"/>
          <w:color w:val="auto"/>
          <w:sz w:val="21"/>
          <w:szCs w:val="21"/>
          <w:highlight w:val="none"/>
        </w:rPr>
      </w:pPr>
    </w:p>
    <w:p w14:paraId="5B1D6164">
      <w:pPr>
        <w:spacing w:line="360" w:lineRule="auto"/>
        <w:jc w:val="center"/>
        <w:rPr>
          <w:rFonts w:hint="eastAsia" w:ascii="宋体" w:hAnsi="宋体" w:eastAsia="宋体" w:cs="宋体"/>
          <w:color w:val="auto"/>
          <w:sz w:val="21"/>
          <w:szCs w:val="21"/>
          <w:highlight w:val="none"/>
        </w:rPr>
      </w:pPr>
    </w:p>
    <w:p w14:paraId="228262F5">
      <w:pPr>
        <w:spacing w:line="360" w:lineRule="auto"/>
        <w:jc w:val="center"/>
        <w:rPr>
          <w:rFonts w:hint="eastAsia" w:ascii="宋体" w:hAnsi="宋体" w:eastAsia="宋体" w:cs="宋体"/>
          <w:color w:val="auto"/>
          <w:sz w:val="21"/>
          <w:szCs w:val="21"/>
          <w:highlight w:val="none"/>
        </w:rPr>
      </w:pPr>
    </w:p>
    <w:p w14:paraId="6A2CCC20">
      <w:pPr>
        <w:spacing w:line="360" w:lineRule="auto"/>
        <w:jc w:val="center"/>
        <w:rPr>
          <w:rFonts w:hint="eastAsia" w:ascii="宋体" w:hAnsi="宋体" w:eastAsia="宋体" w:cs="宋体"/>
          <w:color w:val="auto"/>
          <w:sz w:val="21"/>
          <w:szCs w:val="21"/>
          <w:highlight w:val="none"/>
        </w:rPr>
      </w:pPr>
    </w:p>
    <w:p w14:paraId="1F4C1F08">
      <w:pPr>
        <w:spacing w:line="360" w:lineRule="auto"/>
        <w:jc w:val="center"/>
        <w:rPr>
          <w:rFonts w:hint="eastAsia" w:ascii="宋体" w:hAnsi="宋体" w:eastAsia="宋体" w:cs="宋体"/>
          <w:color w:val="auto"/>
          <w:sz w:val="21"/>
          <w:szCs w:val="21"/>
          <w:highlight w:val="none"/>
        </w:rPr>
      </w:pPr>
    </w:p>
    <w:p w14:paraId="00D9D4B9">
      <w:pPr>
        <w:spacing w:line="360" w:lineRule="auto"/>
        <w:jc w:val="center"/>
        <w:rPr>
          <w:rFonts w:hint="eastAsia" w:ascii="宋体" w:hAnsi="宋体" w:eastAsia="宋体" w:cs="宋体"/>
          <w:color w:val="auto"/>
          <w:sz w:val="21"/>
          <w:szCs w:val="21"/>
          <w:highlight w:val="none"/>
        </w:rPr>
      </w:pPr>
    </w:p>
    <w:p w14:paraId="321A2BB4">
      <w:pPr>
        <w:spacing w:line="360" w:lineRule="auto"/>
        <w:jc w:val="center"/>
        <w:rPr>
          <w:rFonts w:hint="eastAsia" w:ascii="宋体" w:hAnsi="宋体" w:eastAsia="宋体" w:cs="宋体"/>
          <w:color w:val="auto"/>
          <w:sz w:val="21"/>
          <w:szCs w:val="21"/>
          <w:highlight w:val="none"/>
        </w:rPr>
      </w:pPr>
    </w:p>
    <w:p w14:paraId="17A6EEC4">
      <w:pPr>
        <w:spacing w:line="360" w:lineRule="auto"/>
        <w:jc w:val="center"/>
        <w:rPr>
          <w:rFonts w:hint="eastAsia" w:ascii="宋体" w:hAnsi="宋体" w:eastAsia="宋体" w:cs="宋体"/>
          <w:color w:val="auto"/>
          <w:sz w:val="21"/>
          <w:szCs w:val="21"/>
          <w:highlight w:val="none"/>
        </w:rPr>
      </w:pPr>
    </w:p>
    <w:p w14:paraId="52B75E8C">
      <w:pPr>
        <w:spacing w:line="360" w:lineRule="auto"/>
        <w:jc w:val="center"/>
        <w:rPr>
          <w:rFonts w:hint="eastAsia" w:ascii="宋体" w:hAnsi="宋体" w:eastAsia="宋体" w:cs="宋体"/>
          <w:color w:val="auto"/>
          <w:sz w:val="21"/>
          <w:szCs w:val="21"/>
          <w:highlight w:val="none"/>
        </w:rPr>
      </w:pPr>
    </w:p>
    <w:p w14:paraId="685212C6">
      <w:pPr>
        <w:spacing w:line="360" w:lineRule="auto"/>
        <w:jc w:val="center"/>
        <w:rPr>
          <w:rFonts w:hint="eastAsia" w:ascii="宋体" w:hAnsi="宋体" w:eastAsia="宋体" w:cs="宋体"/>
          <w:color w:val="auto"/>
          <w:sz w:val="21"/>
          <w:szCs w:val="21"/>
          <w:highlight w:val="none"/>
        </w:rPr>
      </w:pPr>
    </w:p>
    <w:p w14:paraId="7BB9E348">
      <w:pPr>
        <w:spacing w:line="360" w:lineRule="auto"/>
        <w:jc w:val="center"/>
        <w:rPr>
          <w:rFonts w:hint="eastAsia" w:ascii="宋体" w:hAnsi="宋体" w:eastAsia="宋体" w:cs="宋体"/>
          <w:color w:val="auto"/>
          <w:sz w:val="21"/>
          <w:szCs w:val="21"/>
          <w:highlight w:val="none"/>
        </w:rPr>
      </w:pPr>
    </w:p>
    <w:p w14:paraId="0B4E455C">
      <w:pPr>
        <w:spacing w:line="360" w:lineRule="auto"/>
        <w:jc w:val="center"/>
        <w:rPr>
          <w:rFonts w:hint="eastAsia" w:ascii="宋体" w:hAnsi="宋体" w:eastAsia="宋体" w:cs="宋体"/>
          <w:color w:val="auto"/>
          <w:sz w:val="21"/>
          <w:szCs w:val="21"/>
          <w:highlight w:val="none"/>
        </w:rPr>
      </w:pPr>
    </w:p>
    <w:p w14:paraId="5CB375DB">
      <w:pPr>
        <w:spacing w:line="360" w:lineRule="auto"/>
        <w:jc w:val="center"/>
        <w:rPr>
          <w:rFonts w:hint="eastAsia" w:ascii="宋体" w:hAnsi="宋体" w:eastAsia="宋体" w:cs="宋体"/>
          <w:color w:val="auto"/>
          <w:sz w:val="21"/>
          <w:szCs w:val="21"/>
          <w:highlight w:val="none"/>
        </w:rPr>
      </w:pPr>
    </w:p>
    <w:p w14:paraId="31F41348">
      <w:pPr>
        <w:spacing w:line="360" w:lineRule="auto"/>
        <w:jc w:val="center"/>
        <w:rPr>
          <w:rFonts w:hint="eastAsia" w:ascii="宋体" w:hAnsi="宋体" w:eastAsia="宋体" w:cs="宋体"/>
          <w:color w:val="auto"/>
          <w:sz w:val="21"/>
          <w:szCs w:val="21"/>
          <w:highlight w:val="none"/>
        </w:rPr>
      </w:pPr>
    </w:p>
    <w:p w14:paraId="54360031">
      <w:pPr>
        <w:spacing w:line="360" w:lineRule="auto"/>
        <w:jc w:val="center"/>
        <w:rPr>
          <w:rFonts w:hint="eastAsia" w:ascii="宋体" w:hAnsi="宋体" w:eastAsia="宋体" w:cs="宋体"/>
          <w:color w:val="auto"/>
          <w:sz w:val="21"/>
          <w:szCs w:val="21"/>
          <w:highlight w:val="none"/>
        </w:rPr>
      </w:pPr>
    </w:p>
    <w:p w14:paraId="0AABAB0C">
      <w:pPr>
        <w:spacing w:line="360" w:lineRule="auto"/>
        <w:rPr>
          <w:rFonts w:hint="eastAsia" w:ascii="宋体" w:hAnsi="宋体" w:eastAsia="宋体" w:cs="宋体"/>
          <w:color w:val="auto"/>
          <w:sz w:val="21"/>
          <w:szCs w:val="21"/>
          <w:highlight w:val="none"/>
        </w:rPr>
      </w:pPr>
    </w:p>
    <w:p w14:paraId="295FC88A">
      <w:pPr>
        <w:pStyle w:val="2"/>
        <w:spacing w:line="360" w:lineRule="auto"/>
        <w:jc w:val="center"/>
        <w:rPr>
          <w:rFonts w:hint="eastAsia" w:ascii="宋体" w:hAnsi="宋体" w:eastAsia="宋体" w:cs="宋体"/>
          <w:color w:val="auto"/>
          <w:sz w:val="32"/>
          <w:szCs w:val="21"/>
          <w:highlight w:val="none"/>
        </w:rPr>
      </w:pPr>
      <w:bookmarkStart w:id="72" w:name="_Toc481596019"/>
      <w:bookmarkStart w:id="73" w:name="_Toc11081118"/>
      <w:bookmarkStart w:id="74" w:name="_Toc26507"/>
      <w:bookmarkStart w:id="75" w:name="_Toc15607"/>
      <w:bookmarkStart w:id="76" w:name="_Toc204048401"/>
      <w:r>
        <w:rPr>
          <w:rFonts w:hint="eastAsia" w:ascii="宋体" w:hAnsi="宋体" w:eastAsia="宋体" w:cs="宋体"/>
          <w:color w:val="auto"/>
          <w:sz w:val="32"/>
          <w:szCs w:val="21"/>
          <w:highlight w:val="none"/>
        </w:rPr>
        <w:t>投标须知前附表</w:t>
      </w:r>
      <w:bookmarkEnd w:id="72"/>
      <w:bookmarkEnd w:id="73"/>
      <w:bookmarkEnd w:id="74"/>
      <w:bookmarkEnd w:id="75"/>
    </w:p>
    <w:tbl>
      <w:tblPr>
        <w:tblStyle w:val="40"/>
        <w:tblW w:w="10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419"/>
        <w:gridCol w:w="7936"/>
      </w:tblGrid>
      <w:tr w14:paraId="721F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859" w:type="dxa"/>
            <w:vAlign w:val="center"/>
          </w:tcPr>
          <w:p w14:paraId="56EFDA73">
            <w:pPr>
              <w:spacing w:line="30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19" w:type="dxa"/>
            <w:vAlign w:val="center"/>
          </w:tcPr>
          <w:p w14:paraId="60CFC8D7">
            <w:pPr>
              <w:spacing w:line="30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7936" w:type="dxa"/>
            <w:vAlign w:val="center"/>
          </w:tcPr>
          <w:p w14:paraId="5A8129D0">
            <w:pPr>
              <w:tabs>
                <w:tab w:val="left" w:pos="1180"/>
              </w:tabs>
              <w:spacing w:line="30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EF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59" w:type="dxa"/>
            <w:vAlign w:val="center"/>
          </w:tcPr>
          <w:p w14:paraId="5E85ECFD">
            <w:pPr>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9" w:type="dxa"/>
            <w:vAlign w:val="center"/>
          </w:tcPr>
          <w:p w14:paraId="1BEF5C5F">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p>
        </w:tc>
        <w:tc>
          <w:tcPr>
            <w:tcW w:w="7936" w:type="dxa"/>
            <w:vAlign w:val="center"/>
          </w:tcPr>
          <w:p w14:paraId="1A274CE5">
            <w:pPr>
              <w:spacing w:line="30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深圳亚洲创建工业园城市更新项目</w:t>
            </w:r>
            <w:r>
              <w:rPr>
                <w:rFonts w:hint="eastAsia" w:hAnsi="宋体" w:cs="宋体"/>
                <w:color w:val="auto"/>
                <w:sz w:val="21"/>
                <w:szCs w:val="21"/>
                <w:highlight w:val="none"/>
                <w:lang w:val="en-US" w:eastAsia="zh-CN"/>
              </w:rPr>
              <w:t>空气检测及治理</w:t>
            </w:r>
            <w:r>
              <w:rPr>
                <w:rFonts w:hint="eastAsia" w:ascii="宋体" w:hAnsi="宋体" w:eastAsia="宋体" w:cs="宋体"/>
                <w:color w:val="auto"/>
                <w:sz w:val="21"/>
                <w:szCs w:val="21"/>
                <w:highlight w:val="none"/>
              </w:rPr>
              <w:t>工程</w:t>
            </w:r>
          </w:p>
        </w:tc>
      </w:tr>
      <w:tr w14:paraId="0E8F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59" w:type="dxa"/>
            <w:vAlign w:val="center"/>
          </w:tcPr>
          <w:p w14:paraId="21DF8C4C">
            <w:pPr>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19" w:type="dxa"/>
            <w:vAlign w:val="center"/>
          </w:tcPr>
          <w:p w14:paraId="39D661CF">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建设地点</w:t>
            </w:r>
          </w:p>
        </w:tc>
        <w:tc>
          <w:tcPr>
            <w:tcW w:w="7936" w:type="dxa"/>
            <w:vAlign w:val="center"/>
          </w:tcPr>
          <w:p w14:paraId="43264BB1">
            <w:pPr>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深圳市宝安区</w:t>
            </w:r>
            <w:r>
              <w:rPr>
                <w:rFonts w:hint="eastAsia" w:hAnsi="宋体" w:cs="宋体"/>
                <w:b w:val="0"/>
                <w:bCs/>
                <w:color w:val="auto"/>
                <w:sz w:val="21"/>
                <w:szCs w:val="21"/>
                <w:highlight w:val="none"/>
                <w:lang w:val="en-US" w:eastAsia="zh-CN"/>
              </w:rPr>
              <w:t>福海街道桥头社区天福路87号</w:t>
            </w:r>
          </w:p>
        </w:tc>
      </w:tr>
      <w:tr w14:paraId="692D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9" w:type="dxa"/>
            <w:vAlign w:val="center"/>
          </w:tcPr>
          <w:p w14:paraId="006B2DFF">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419" w:type="dxa"/>
            <w:vAlign w:val="center"/>
          </w:tcPr>
          <w:p w14:paraId="65C94EDC">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招标范围</w:t>
            </w:r>
          </w:p>
        </w:tc>
        <w:tc>
          <w:tcPr>
            <w:tcW w:w="7936" w:type="dxa"/>
            <w:vAlign w:val="center"/>
          </w:tcPr>
          <w:p w14:paraId="7966063C">
            <w:pPr>
              <w:autoSpaceDE w:val="0"/>
              <w:autoSpaceDN w:val="0"/>
              <w:spacing w:line="30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深圳亚洲创建工业园城市更新项目</w:t>
            </w:r>
            <w:r>
              <w:rPr>
                <w:rFonts w:hint="eastAsia" w:hAnsi="宋体" w:cs="宋体"/>
                <w:color w:val="auto"/>
                <w:sz w:val="21"/>
                <w:szCs w:val="21"/>
                <w:highlight w:val="none"/>
                <w:lang w:val="en-US" w:eastAsia="zh-CN"/>
              </w:rPr>
              <w:t>空气检测及治理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具体详见</w:t>
            </w:r>
            <w:r>
              <w:rPr>
                <w:rFonts w:hint="eastAsia" w:hAnsi="宋体" w:cs="宋体"/>
                <w:color w:val="auto"/>
                <w:sz w:val="21"/>
                <w:szCs w:val="21"/>
                <w:highlight w:val="none"/>
                <w:lang w:val="en-US" w:eastAsia="zh-CN"/>
              </w:rPr>
              <w:t>招标需求清单。</w:t>
            </w:r>
          </w:p>
        </w:tc>
      </w:tr>
      <w:tr w14:paraId="1277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59" w:type="dxa"/>
            <w:vAlign w:val="center"/>
          </w:tcPr>
          <w:p w14:paraId="57177630">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1419" w:type="dxa"/>
            <w:vAlign w:val="center"/>
          </w:tcPr>
          <w:p w14:paraId="5E0F87B6">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投标方资质要求</w:t>
            </w:r>
          </w:p>
        </w:tc>
        <w:tc>
          <w:tcPr>
            <w:tcW w:w="7936" w:type="dxa"/>
            <w:vAlign w:val="center"/>
          </w:tcPr>
          <w:p w14:paraId="1F101CD8">
            <w:pPr>
              <w:widowControl/>
              <w:tabs>
                <w:tab w:val="left" w:pos="1701"/>
              </w:tabs>
              <w:autoSpaceDE w:val="0"/>
              <w:autoSpaceDN w:val="0"/>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经复审查出资质</w:t>
            </w:r>
            <w:r>
              <w:rPr>
                <w:rFonts w:hint="eastAsia" w:hAnsi="宋体" w:cs="宋体"/>
                <w:color w:val="auto"/>
                <w:sz w:val="21"/>
                <w:szCs w:val="21"/>
                <w:highlight w:val="none"/>
                <w:lang w:val="en-US" w:eastAsia="zh-CN"/>
              </w:rPr>
              <w:t>、商务、技术</w:t>
            </w:r>
            <w:r>
              <w:rPr>
                <w:rFonts w:hint="eastAsia" w:ascii="宋体" w:hAnsi="宋体" w:eastAsia="宋体" w:cs="宋体"/>
                <w:color w:val="auto"/>
                <w:sz w:val="21"/>
                <w:szCs w:val="21"/>
                <w:highlight w:val="none"/>
                <w:lang w:val="en-US" w:eastAsia="zh-CN"/>
              </w:rPr>
              <w:t>有作假不符情况直接视作废标处理。</w:t>
            </w:r>
          </w:p>
        </w:tc>
      </w:tr>
      <w:tr w14:paraId="1FE7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9" w:type="dxa"/>
            <w:vAlign w:val="center"/>
          </w:tcPr>
          <w:p w14:paraId="62C2B472">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1419" w:type="dxa"/>
            <w:vAlign w:val="center"/>
          </w:tcPr>
          <w:p w14:paraId="69B9DCA9">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工期要求</w:t>
            </w:r>
          </w:p>
        </w:tc>
        <w:tc>
          <w:tcPr>
            <w:tcW w:w="7936" w:type="dxa"/>
            <w:vAlign w:val="center"/>
          </w:tcPr>
          <w:p w14:paraId="621A9089">
            <w:pPr>
              <w:widowControl/>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 </w:t>
            </w:r>
            <w:r>
              <w:rPr>
                <w:rFonts w:hint="eastAsia" w:hAnsi="宋体" w:cs="宋体"/>
                <w:b/>
                <w:bCs/>
                <w:color w:val="auto"/>
                <w:sz w:val="21"/>
                <w:szCs w:val="21"/>
                <w:highlight w:val="none"/>
                <w:lang w:val="en-US" w:eastAsia="zh-CN"/>
              </w:rPr>
              <w:t xml:space="preserve">7 </w:t>
            </w:r>
            <w:r>
              <w:rPr>
                <w:rFonts w:hint="eastAsia" w:ascii="宋体" w:hAnsi="宋体" w:eastAsia="宋体" w:cs="宋体"/>
                <w:b/>
                <w:bCs/>
                <w:color w:val="auto"/>
                <w:sz w:val="21"/>
                <w:szCs w:val="21"/>
                <w:highlight w:val="none"/>
              </w:rPr>
              <w:t>日历天</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其中：</w:t>
            </w:r>
          </w:p>
          <w:p w14:paraId="25102507">
            <w:pPr>
              <w:widowControl/>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hAnsi="宋体" w:cs="宋体"/>
                <w:b/>
                <w:bCs/>
                <w:color w:val="auto"/>
                <w:sz w:val="21"/>
                <w:szCs w:val="21"/>
                <w:highlight w:val="none"/>
                <w:lang w:val="en-US" w:eastAsia="zh-CN"/>
              </w:rPr>
              <w:t>检测治理</w:t>
            </w:r>
            <w:r>
              <w:rPr>
                <w:rFonts w:hint="eastAsia" w:ascii="宋体" w:hAnsi="宋体" w:eastAsia="宋体" w:cs="宋体"/>
                <w:b/>
                <w:bCs/>
                <w:color w:val="auto"/>
                <w:sz w:val="21"/>
                <w:szCs w:val="21"/>
                <w:highlight w:val="none"/>
                <w:lang w:val="en-US" w:eastAsia="zh-CN"/>
              </w:rPr>
              <w:t xml:space="preserve">： </w:t>
            </w:r>
            <w:r>
              <w:rPr>
                <w:rFonts w:hint="eastAsia"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en-US" w:eastAsia="zh-CN"/>
              </w:rPr>
              <w:t xml:space="preserve"> 天</w:t>
            </w:r>
            <w:r>
              <w:rPr>
                <w:rFonts w:hint="eastAsia" w:hAnsi="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val="en-US" w:eastAsia="zh-CN"/>
              </w:rPr>
              <w:t>；</w:t>
            </w:r>
          </w:p>
          <w:p w14:paraId="2C4EC531">
            <w:pPr>
              <w:widowControl/>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w:t>
            </w:r>
            <w:r>
              <w:rPr>
                <w:rFonts w:hint="eastAsia" w:hAnsi="宋体" w:cs="宋体"/>
                <w:b/>
                <w:bCs/>
                <w:color w:val="auto"/>
                <w:sz w:val="21"/>
                <w:szCs w:val="21"/>
                <w:highlight w:val="none"/>
                <w:lang w:val="en-US" w:eastAsia="zh-CN"/>
              </w:rPr>
              <w:t>报告</w:t>
            </w:r>
            <w:r>
              <w:rPr>
                <w:rFonts w:hint="eastAsia" w:ascii="宋体" w:hAnsi="宋体" w:eastAsia="宋体" w:cs="宋体"/>
                <w:b/>
                <w:bCs/>
                <w:color w:val="auto"/>
                <w:sz w:val="21"/>
                <w:szCs w:val="21"/>
                <w:highlight w:val="none"/>
                <w:lang w:val="en-US" w:eastAsia="zh-CN"/>
              </w:rPr>
              <w:t xml:space="preserve">： </w:t>
            </w:r>
            <w:r>
              <w:rPr>
                <w:rFonts w:hint="eastAsia"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en-US" w:eastAsia="zh-CN"/>
              </w:rPr>
              <w:t xml:space="preserve"> 天。</w:t>
            </w:r>
          </w:p>
        </w:tc>
      </w:tr>
      <w:tr w14:paraId="56F5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59" w:type="dxa"/>
            <w:tcBorders>
              <w:bottom w:val="single" w:color="auto" w:sz="4" w:space="0"/>
            </w:tcBorders>
            <w:vAlign w:val="center"/>
          </w:tcPr>
          <w:p w14:paraId="0E46CB0C">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1419" w:type="dxa"/>
            <w:vAlign w:val="center"/>
          </w:tcPr>
          <w:p w14:paraId="231D6A2E">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质量要求</w:t>
            </w:r>
          </w:p>
        </w:tc>
        <w:tc>
          <w:tcPr>
            <w:tcW w:w="7936" w:type="dxa"/>
            <w:vAlign w:val="center"/>
          </w:tcPr>
          <w:p w14:paraId="151AF671">
            <w:pPr>
              <w:tabs>
                <w:tab w:val="left" w:pos="1406"/>
              </w:tabs>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符合国家、地方、行业规范以及招标文件要求，达到质量合格要求；</w:t>
            </w:r>
          </w:p>
        </w:tc>
      </w:tr>
      <w:tr w14:paraId="0FB5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59" w:type="dxa"/>
            <w:vAlign w:val="center"/>
          </w:tcPr>
          <w:p w14:paraId="26EBCD15">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1419" w:type="dxa"/>
            <w:vAlign w:val="center"/>
          </w:tcPr>
          <w:p w14:paraId="31169755">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标段划分</w:t>
            </w:r>
          </w:p>
        </w:tc>
        <w:tc>
          <w:tcPr>
            <w:tcW w:w="7936" w:type="dxa"/>
            <w:vAlign w:val="center"/>
          </w:tcPr>
          <w:p w14:paraId="5FC8C575">
            <w:pPr>
              <w:snapToGrid w:val="0"/>
              <w:spacing w:line="30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本项目不分标段</w:t>
            </w:r>
          </w:p>
        </w:tc>
      </w:tr>
      <w:tr w14:paraId="0C1A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9" w:type="dxa"/>
            <w:vAlign w:val="center"/>
          </w:tcPr>
          <w:p w14:paraId="08601D5B">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1419" w:type="dxa"/>
            <w:vAlign w:val="center"/>
          </w:tcPr>
          <w:p w14:paraId="426E3320">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计价方式</w:t>
            </w:r>
          </w:p>
        </w:tc>
        <w:tc>
          <w:tcPr>
            <w:tcW w:w="7936" w:type="dxa"/>
            <w:vAlign w:val="center"/>
          </w:tcPr>
          <w:p w14:paraId="15D9F23A">
            <w:pPr>
              <w:spacing w:line="30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固定综合单价、暂定总价</w:t>
            </w:r>
          </w:p>
        </w:tc>
      </w:tr>
      <w:tr w14:paraId="5DBE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859" w:type="dxa"/>
            <w:vAlign w:val="center"/>
          </w:tcPr>
          <w:p w14:paraId="30CDAE61">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p>
        </w:tc>
        <w:tc>
          <w:tcPr>
            <w:tcW w:w="1419" w:type="dxa"/>
            <w:vAlign w:val="center"/>
          </w:tcPr>
          <w:p w14:paraId="0092984C">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7936" w:type="dxa"/>
            <w:vAlign w:val="center"/>
          </w:tcPr>
          <w:p w14:paraId="7576838C">
            <w:pPr>
              <w:widowControl/>
              <w:numPr>
                <w:ilvl w:val="0"/>
                <w:numId w:val="0"/>
              </w:numPr>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en-US" w:eastAsia="zh-CN"/>
              </w:rPr>
              <w:t>预付款：合同签订生效</w:t>
            </w:r>
            <w:r>
              <w:rPr>
                <w:rFonts w:hint="eastAsia" w:hAnsi="宋体" w:cs="宋体"/>
                <w:b/>
                <w:bCs/>
                <w:color w:val="auto"/>
                <w:sz w:val="21"/>
                <w:szCs w:val="21"/>
                <w:highlight w:val="none"/>
                <w:lang w:val="en-US" w:eastAsia="zh-CN"/>
              </w:rPr>
              <w:t>且乙方提交履约担保后</w:t>
            </w:r>
            <w:r>
              <w:rPr>
                <w:rFonts w:hint="eastAsia" w:ascii="宋体" w:hAnsi="宋体" w:eastAsia="宋体" w:cs="宋体"/>
                <w:b/>
                <w:bCs/>
                <w:color w:val="auto"/>
                <w:sz w:val="21"/>
                <w:szCs w:val="21"/>
                <w:highlight w:val="none"/>
                <w:lang w:val="en-US" w:eastAsia="zh-CN"/>
              </w:rPr>
              <w:t xml:space="preserve"> 5 个工作日内，支付合同总价</w:t>
            </w:r>
            <w:r>
              <w:rPr>
                <w:rFonts w:hint="eastAsia" w:hAnsi="宋体" w:cs="宋体"/>
                <w:b/>
                <w:bCs/>
                <w:color w:val="auto"/>
                <w:sz w:val="21"/>
                <w:szCs w:val="21"/>
                <w:highlight w:val="none"/>
                <w:lang w:val="en-US" w:eastAsia="zh-CN"/>
              </w:rPr>
              <w:t>的35</w:t>
            </w:r>
            <w:r>
              <w:rPr>
                <w:rFonts w:hint="eastAsia" w:ascii="宋体" w:hAnsi="宋体" w:eastAsia="宋体" w:cs="宋体"/>
                <w:b/>
                <w:bCs/>
                <w:color w:val="auto"/>
                <w:sz w:val="21"/>
                <w:szCs w:val="21"/>
                <w:highlight w:val="none"/>
                <w:lang w:val="en-US" w:eastAsia="zh-CN"/>
              </w:rPr>
              <w:t>%</w:t>
            </w:r>
            <w:r>
              <w:rPr>
                <w:rFonts w:hint="eastAsia" w:hAnsi="宋体" w:cs="宋体"/>
                <w:b/>
                <w:bCs/>
                <w:color w:val="auto"/>
                <w:sz w:val="21"/>
                <w:szCs w:val="21"/>
                <w:highlight w:val="none"/>
                <w:lang w:val="en-US" w:eastAsia="zh-CN"/>
              </w:rPr>
              <w:t>。</w:t>
            </w:r>
          </w:p>
          <w:p w14:paraId="0753587A">
            <w:pPr>
              <w:widowControl/>
              <w:numPr>
                <w:ilvl w:val="-1"/>
                <w:numId w:val="0"/>
              </w:numPr>
              <w:tabs>
                <w:tab w:val="left" w:pos="1701"/>
              </w:tabs>
              <w:autoSpaceDE w:val="0"/>
              <w:autoSpaceDN w:val="0"/>
              <w:spacing w:line="300" w:lineRule="auto"/>
              <w:rPr>
                <w:ins w:id="1" w:author="WPS_1782358086" w:date="2026-07-13T14:54:57Z"/>
                <w:rFonts w:hint="eastAsia" w:ascii="宋体" w:hAnsi="宋体" w:eastAsia="宋体" w:cs="宋体"/>
                <w:b/>
                <w:bCs/>
                <w:color w:val="auto"/>
                <w:sz w:val="21"/>
                <w:szCs w:val="21"/>
                <w:highlight w:val="none"/>
                <w:lang w:val="en-US" w:eastAsia="zh-CN"/>
              </w:rPr>
            </w:pPr>
            <w:r>
              <w:rPr>
                <w:rFonts w:hint="eastAsia" w:hAnsi="宋体" w:cs="宋体"/>
                <w:b/>
                <w:bCs/>
                <w:color w:val="auto"/>
                <w:sz w:val="21"/>
                <w:szCs w:val="21"/>
                <w:highlight w:val="none"/>
                <w:lang w:val="en-US" w:eastAsia="zh-CN"/>
              </w:rPr>
              <w:t>（2）尾</w:t>
            </w:r>
            <w:r>
              <w:rPr>
                <w:rFonts w:hint="eastAsia" w:ascii="宋体" w:hAnsi="宋体" w:eastAsia="宋体" w:cs="宋体"/>
                <w:b/>
                <w:bCs/>
                <w:color w:val="auto"/>
                <w:sz w:val="21"/>
                <w:szCs w:val="21"/>
                <w:highlight w:val="none"/>
                <w:lang w:val="en-US" w:eastAsia="zh-CN"/>
              </w:rPr>
              <w:t>款：经</w:t>
            </w:r>
            <w:r>
              <w:rPr>
                <w:rFonts w:hint="eastAsia" w:hAnsi="宋体" w:cs="宋体"/>
                <w:b/>
                <w:bCs/>
                <w:color w:val="auto"/>
                <w:sz w:val="21"/>
                <w:szCs w:val="21"/>
                <w:highlight w:val="none"/>
                <w:lang w:val="en-US" w:eastAsia="zh-CN"/>
              </w:rPr>
              <w:t>第三方</w:t>
            </w:r>
            <w:r>
              <w:rPr>
                <w:rFonts w:hint="eastAsia" w:ascii="宋体" w:hAnsi="宋体" w:eastAsia="宋体" w:cs="宋体"/>
                <w:b/>
                <w:bCs/>
                <w:color w:val="auto"/>
                <w:sz w:val="21"/>
                <w:szCs w:val="21"/>
                <w:highlight w:val="none"/>
                <w:lang w:val="en-US" w:eastAsia="zh-CN"/>
              </w:rPr>
              <w:t>验收</w:t>
            </w:r>
            <w:r>
              <w:rPr>
                <w:rFonts w:hint="eastAsia" w:hAnsi="宋体" w:cs="宋体"/>
                <w:b/>
                <w:bCs/>
                <w:color w:val="auto"/>
                <w:sz w:val="21"/>
                <w:szCs w:val="21"/>
                <w:highlight w:val="none"/>
                <w:lang w:val="en-US" w:eastAsia="zh-CN"/>
              </w:rPr>
              <w:t>检验</w:t>
            </w:r>
            <w:r>
              <w:rPr>
                <w:rFonts w:hint="eastAsia" w:ascii="宋体" w:hAnsi="宋体" w:eastAsia="宋体" w:cs="宋体"/>
                <w:b/>
                <w:bCs/>
                <w:color w:val="auto"/>
                <w:sz w:val="21"/>
                <w:szCs w:val="21"/>
                <w:highlight w:val="none"/>
                <w:lang w:val="en-US" w:eastAsia="zh-CN"/>
              </w:rPr>
              <w:t>合格后</w:t>
            </w:r>
            <w:r>
              <w:rPr>
                <w:rFonts w:hint="eastAsia" w:hAnsi="宋体" w:cs="宋体"/>
                <w:b/>
                <w:bCs/>
                <w:color w:val="auto"/>
                <w:sz w:val="21"/>
                <w:szCs w:val="21"/>
                <w:highlight w:val="none"/>
                <w:lang w:val="en-US" w:eastAsia="zh-CN"/>
              </w:rPr>
              <w:t>、双方完成结算</w:t>
            </w:r>
            <w:r>
              <w:rPr>
                <w:rFonts w:hint="eastAsia" w:ascii="宋体" w:hAnsi="宋体" w:eastAsia="宋体" w:cs="宋体"/>
                <w:b/>
                <w:bCs/>
                <w:color w:val="auto"/>
                <w:sz w:val="21"/>
                <w:szCs w:val="21"/>
                <w:highlight w:val="none"/>
                <w:lang w:val="en-US" w:eastAsia="zh-CN"/>
              </w:rPr>
              <w:t>且乙方付款文件齐全后20个工作日内</w:t>
            </w:r>
            <w:r>
              <w:rPr>
                <w:rFonts w:hint="eastAsia"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付</w:t>
            </w:r>
            <w:r>
              <w:rPr>
                <w:rFonts w:hint="eastAsia" w:hAnsi="宋体" w:cs="宋体"/>
                <w:b/>
                <w:bCs/>
                <w:color w:val="auto"/>
                <w:sz w:val="21"/>
                <w:szCs w:val="21"/>
                <w:highlight w:val="none"/>
                <w:lang w:val="en-US" w:eastAsia="zh-CN"/>
              </w:rPr>
              <w:t>清</w:t>
            </w:r>
            <w:r>
              <w:rPr>
                <w:rFonts w:hint="eastAsia" w:ascii="宋体" w:hAnsi="宋体" w:eastAsia="宋体" w:cs="宋体"/>
                <w:b/>
                <w:bCs/>
                <w:color w:val="auto"/>
                <w:sz w:val="21"/>
                <w:szCs w:val="21"/>
                <w:highlight w:val="none"/>
                <w:lang w:val="en-US" w:eastAsia="zh-CN"/>
              </w:rPr>
              <w:t>本合同</w:t>
            </w:r>
            <w:r>
              <w:rPr>
                <w:rFonts w:hint="eastAsia" w:hAnsi="宋体" w:cs="宋体"/>
                <w:b/>
                <w:bCs/>
                <w:color w:val="auto"/>
                <w:sz w:val="21"/>
                <w:szCs w:val="21"/>
                <w:highlight w:val="none"/>
                <w:lang w:val="en-US" w:eastAsia="zh-CN"/>
              </w:rPr>
              <w:t>剩余</w:t>
            </w:r>
            <w:r>
              <w:rPr>
                <w:rFonts w:hint="eastAsia" w:ascii="宋体" w:hAnsi="宋体" w:eastAsia="宋体" w:cs="宋体"/>
                <w:b/>
                <w:bCs/>
                <w:color w:val="auto"/>
                <w:sz w:val="21"/>
                <w:szCs w:val="21"/>
                <w:highlight w:val="none"/>
                <w:lang w:val="en-US" w:eastAsia="zh-CN"/>
              </w:rPr>
              <w:t>结算金额；</w:t>
            </w:r>
          </w:p>
          <w:p w14:paraId="78B745A3">
            <w:pPr>
              <w:widowControl/>
              <w:numPr>
                <w:ilvl w:val="0"/>
                <w:numId w:val="0"/>
              </w:numPr>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每次付款前，乙方须开具等额增值税发票，甲方收到发票后按上述期限支付</w:t>
            </w:r>
            <w:r>
              <w:rPr>
                <w:rFonts w:hint="eastAsia" w:hAnsi="宋体" w:cs="宋体"/>
                <w:b/>
                <w:bCs/>
                <w:color w:val="auto"/>
                <w:sz w:val="21"/>
                <w:szCs w:val="21"/>
                <w:highlight w:val="none"/>
                <w:lang w:val="en-US" w:eastAsia="zh-CN"/>
              </w:rPr>
              <w:t>。</w:t>
            </w:r>
          </w:p>
        </w:tc>
      </w:tr>
      <w:tr w14:paraId="4C9D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9" w:type="dxa"/>
            <w:vAlign w:val="center"/>
          </w:tcPr>
          <w:p w14:paraId="214118B8">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p>
        </w:tc>
        <w:tc>
          <w:tcPr>
            <w:tcW w:w="1419" w:type="dxa"/>
            <w:vAlign w:val="center"/>
          </w:tcPr>
          <w:p w14:paraId="66507049">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材料调差方式</w:t>
            </w:r>
          </w:p>
        </w:tc>
        <w:tc>
          <w:tcPr>
            <w:tcW w:w="7936" w:type="dxa"/>
            <w:vAlign w:val="center"/>
          </w:tcPr>
          <w:p w14:paraId="0E42604A">
            <w:pPr>
              <w:spacing w:line="30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无</w:t>
            </w:r>
          </w:p>
        </w:tc>
      </w:tr>
      <w:tr w14:paraId="07C0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59" w:type="dxa"/>
            <w:vAlign w:val="center"/>
          </w:tcPr>
          <w:p w14:paraId="0865B81A">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p>
        </w:tc>
        <w:tc>
          <w:tcPr>
            <w:tcW w:w="1419" w:type="dxa"/>
            <w:vAlign w:val="center"/>
          </w:tcPr>
          <w:p w14:paraId="341E7794">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招标图纸押金</w:t>
            </w:r>
          </w:p>
        </w:tc>
        <w:tc>
          <w:tcPr>
            <w:tcW w:w="7936" w:type="dxa"/>
            <w:vAlign w:val="center"/>
          </w:tcPr>
          <w:p w14:paraId="53F81A0F">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本次招标不收取招标图纸押金及招标文件工本费</w:t>
            </w:r>
          </w:p>
        </w:tc>
      </w:tr>
      <w:tr w14:paraId="6F1F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59" w:type="dxa"/>
            <w:vAlign w:val="center"/>
          </w:tcPr>
          <w:p w14:paraId="22E308DF">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p>
        </w:tc>
        <w:tc>
          <w:tcPr>
            <w:tcW w:w="1419" w:type="dxa"/>
            <w:vAlign w:val="center"/>
          </w:tcPr>
          <w:p w14:paraId="3AE9B497">
            <w:pPr>
              <w:spacing w:line="30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招标答疑</w:t>
            </w:r>
          </w:p>
        </w:tc>
        <w:tc>
          <w:tcPr>
            <w:tcW w:w="7936" w:type="dxa"/>
          </w:tcPr>
          <w:p w14:paraId="3228BD70">
            <w:pPr>
              <w:snapToGrid w:val="0"/>
              <w:spacing w:line="30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疑问提出截止时间：</w:t>
            </w:r>
            <w:r>
              <w:rPr>
                <w:rFonts w:hint="eastAsia" w:ascii="宋体" w:hAnsi="宋体" w:eastAsia="宋体" w:cs="宋体"/>
                <w:b/>
                <w:bCs/>
                <w:color w:val="auto"/>
                <w:sz w:val="21"/>
                <w:szCs w:val="21"/>
                <w:highlight w:val="none"/>
                <w:lang w:val="en-US" w:eastAsia="zh-CN"/>
              </w:rPr>
              <w:t>2026年</w:t>
            </w:r>
            <w:r>
              <w:rPr>
                <w:rFonts w:hint="eastAsia"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 xml:space="preserve"> 月 </w:t>
            </w:r>
            <w:r>
              <w:rPr>
                <w:rFonts w:hint="eastAsia"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 xml:space="preserve"> 日  18：00 时前</w:t>
            </w:r>
            <w:r>
              <w:rPr>
                <w:rFonts w:hint="eastAsia" w:ascii="宋体" w:hAnsi="宋体" w:eastAsia="宋体" w:cs="宋体"/>
                <w:b/>
                <w:bCs/>
                <w:color w:val="auto"/>
                <w:sz w:val="21"/>
                <w:szCs w:val="21"/>
                <w:highlight w:val="none"/>
              </w:rPr>
              <w:t>；</w:t>
            </w:r>
          </w:p>
          <w:p w14:paraId="4DAF56FB">
            <w:pPr>
              <w:snapToGrid w:val="0"/>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以电子文件的形式发至招标联系人邮箱，答疑文件格式详见附件《招标答疑格式》。答疑截止时间后，招标人将不再回复任何问题。</w:t>
            </w:r>
          </w:p>
          <w:p w14:paraId="3B3C4BBB">
            <w:pPr>
              <w:snapToGrid w:val="0"/>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招标联系人：</w:t>
            </w:r>
            <w:r>
              <w:rPr>
                <w:rFonts w:hint="eastAsia" w:ascii="宋体" w:hAnsi="宋体" w:eastAsia="宋体" w:cs="宋体"/>
                <w:color w:val="auto"/>
                <w:sz w:val="21"/>
                <w:szCs w:val="21"/>
                <w:highlight w:val="none"/>
                <w:lang w:val="en-US" w:eastAsia="zh-CN"/>
              </w:rPr>
              <w:t xml:space="preserve"> 崔庆华19353406904     </w:t>
            </w:r>
          </w:p>
          <w:p w14:paraId="23B8D784">
            <w:pPr>
              <w:snapToGrid w:val="0"/>
              <w:spacing w:line="300" w:lineRule="auto"/>
              <w:rPr>
                <w:rFonts w:hint="eastAsia" w:ascii="宋体" w:hAnsi="宋体" w:eastAsia="宋体" w:cs="宋体"/>
                <w:b/>
                <w:color w:val="auto"/>
                <w:sz w:val="21"/>
                <w:szCs w:val="21"/>
                <w:highlight w:val="none"/>
                <w:u w:val="single"/>
                <w:lang w:val="en-US" w:eastAsia="zh-CN"/>
              </w:rPr>
            </w:pPr>
            <w:r>
              <w:rPr>
                <w:rFonts w:hint="eastAsia" w:ascii="宋体" w:hAnsi="宋体" w:eastAsia="宋体" w:cs="宋体"/>
                <w:color w:val="auto"/>
                <w:sz w:val="21"/>
                <w:szCs w:val="21"/>
                <w:highlight w:val="none"/>
              </w:rPr>
              <w:t>邮箱：</w:t>
            </w:r>
            <w:r>
              <w:rPr>
                <w:rFonts w:hint="eastAsia" w:ascii="宋体" w:hAnsi="宋体" w:eastAsia="宋体" w:cs="宋体"/>
                <w:color w:val="auto"/>
                <w:sz w:val="21"/>
                <w:szCs w:val="21"/>
                <w:highlight w:val="none"/>
                <w:lang w:val="en-US" w:eastAsia="zh-CN"/>
              </w:rPr>
              <w:t xml:space="preserve"> cuiqh203749@hanscnc.com  </w:t>
            </w:r>
            <w:r>
              <w:rPr>
                <w:rFonts w:hint="eastAsia" w:ascii="宋体" w:hAnsi="宋体" w:eastAsia="宋体" w:cs="宋体"/>
                <w:color w:val="auto"/>
                <w:highlight w:val="none"/>
                <w:lang w:val="en-US" w:eastAsia="zh-CN"/>
              </w:rPr>
              <w:t xml:space="preserve">  </w:t>
            </w:r>
          </w:p>
        </w:tc>
      </w:tr>
      <w:tr w14:paraId="78D7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9" w:type="dxa"/>
            <w:vAlign w:val="center"/>
          </w:tcPr>
          <w:p w14:paraId="37AB3E53">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3</w:t>
            </w:r>
          </w:p>
        </w:tc>
        <w:tc>
          <w:tcPr>
            <w:tcW w:w="1419" w:type="dxa"/>
            <w:vAlign w:val="center"/>
          </w:tcPr>
          <w:p w14:paraId="39B2A7E2">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投标书提交时需提供的资料</w:t>
            </w:r>
          </w:p>
        </w:tc>
        <w:tc>
          <w:tcPr>
            <w:tcW w:w="7936" w:type="dxa"/>
            <w:vAlign w:val="center"/>
          </w:tcPr>
          <w:p w14:paraId="20472585">
            <w:pPr>
              <w:spacing w:line="30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投标人提交投标书时,须携带法定代表人身份证明书，非法定代表人提交的应提交公司加盖公章并经法定代表人签署的委托书及其他，详见投标须知正文。</w:t>
            </w:r>
          </w:p>
        </w:tc>
      </w:tr>
      <w:tr w14:paraId="603D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859" w:type="dxa"/>
            <w:vAlign w:val="center"/>
          </w:tcPr>
          <w:p w14:paraId="56453191">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4</w:t>
            </w:r>
          </w:p>
        </w:tc>
        <w:tc>
          <w:tcPr>
            <w:tcW w:w="1419" w:type="dxa"/>
            <w:vAlign w:val="center"/>
          </w:tcPr>
          <w:p w14:paraId="3AFF48A5">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投标文件份数</w:t>
            </w:r>
          </w:p>
        </w:tc>
        <w:tc>
          <w:tcPr>
            <w:tcW w:w="7936" w:type="dxa"/>
            <w:vAlign w:val="center"/>
          </w:tcPr>
          <w:p w14:paraId="34226C1E">
            <w:pPr>
              <w:spacing w:line="30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商务标：</w:t>
            </w:r>
            <w:r>
              <w:rPr>
                <w:rFonts w:hint="eastAsia" w:ascii="宋体" w:hAnsi="宋体" w:eastAsia="宋体" w:cs="宋体"/>
                <w:color w:val="auto"/>
                <w:sz w:val="21"/>
                <w:szCs w:val="21"/>
                <w:highlight w:val="none"/>
              </w:rPr>
              <w:t>一式两份，正本一份，副本一份</w:t>
            </w:r>
            <w:r>
              <w:rPr>
                <w:rFonts w:hint="eastAsia" w:ascii="宋体" w:hAnsi="宋体" w:eastAsia="宋体" w:cs="宋体"/>
                <w:color w:val="auto"/>
                <w:sz w:val="21"/>
                <w:szCs w:val="21"/>
                <w:highlight w:val="none"/>
                <w:lang w:eastAsia="zh-CN"/>
              </w:rPr>
              <w:t>；</w:t>
            </w:r>
          </w:p>
          <w:p w14:paraId="4FA54A11">
            <w:pPr>
              <w:spacing w:line="300" w:lineRule="auto"/>
              <w:jc w:val="both"/>
              <w:rPr>
                <w:rFonts w:hint="eastAsia" w:ascii="宋体" w:hAnsi="宋体" w:eastAsia="宋体" w:cs="宋体"/>
                <w:color w:val="auto"/>
                <w:sz w:val="21"/>
                <w:szCs w:val="21"/>
                <w:highlight w:val="none"/>
                <w:lang w:eastAsia="zh-CN"/>
              </w:rPr>
            </w:pPr>
            <w:r>
              <w:rPr>
                <w:rFonts w:hint="eastAsia" w:ascii="Times New Roman" w:cs="Arial"/>
                <w:color w:val="auto"/>
                <w:sz w:val="21"/>
                <w:szCs w:val="21"/>
                <w:highlight w:val="none"/>
              </w:rPr>
              <w:t>资信标和技术标</w:t>
            </w:r>
            <w:r>
              <w:rPr>
                <w:rFonts w:hint="eastAsia" w:ascii="Times New Roman" w:cs="Arial"/>
                <w:color w:val="auto"/>
                <w:sz w:val="21"/>
                <w:szCs w:val="21"/>
                <w:highlight w:val="none"/>
                <w:lang w:eastAsia="zh-CN"/>
              </w:rPr>
              <w:t>：</w:t>
            </w:r>
            <w:r>
              <w:rPr>
                <w:rFonts w:hint="eastAsia" w:ascii="Times New Roman" w:cs="Arial"/>
                <w:color w:val="auto"/>
                <w:sz w:val="21"/>
                <w:szCs w:val="21"/>
                <w:highlight w:val="none"/>
              </w:rPr>
              <w:t>一式</w:t>
            </w:r>
            <w:r>
              <w:rPr>
                <w:rFonts w:hint="eastAsia" w:ascii="Times New Roman" w:cs="Arial"/>
                <w:color w:val="auto"/>
                <w:sz w:val="21"/>
                <w:szCs w:val="21"/>
                <w:highlight w:val="none"/>
                <w:lang w:val="en-US" w:eastAsia="zh-CN"/>
              </w:rPr>
              <w:t>一</w:t>
            </w:r>
            <w:r>
              <w:rPr>
                <w:rFonts w:hint="eastAsia" w:ascii="Times New Roman" w:cs="Arial"/>
                <w:color w:val="auto"/>
                <w:sz w:val="21"/>
                <w:szCs w:val="21"/>
                <w:highlight w:val="none"/>
              </w:rPr>
              <w:t>份</w:t>
            </w:r>
            <w:r>
              <w:rPr>
                <w:rFonts w:hint="eastAsia" w:ascii="Times New Roman" w:cs="Arial"/>
                <w:color w:val="auto"/>
                <w:sz w:val="21"/>
                <w:szCs w:val="21"/>
                <w:highlight w:val="none"/>
                <w:lang w:eastAsia="zh-CN"/>
              </w:rPr>
              <w:t>；</w:t>
            </w:r>
          </w:p>
          <w:p w14:paraId="3B1CE77F">
            <w:pPr>
              <w:spacing w:line="300" w:lineRule="auto"/>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资信、</w:t>
            </w:r>
            <w:r>
              <w:rPr>
                <w:rFonts w:hint="eastAsia" w:ascii="宋体" w:hAnsi="宋体" w:eastAsia="宋体" w:cs="宋体"/>
                <w:color w:val="auto"/>
                <w:sz w:val="21"/>
                <w:szCs w:val="21"/>
                <w:highlight w:val="none"/>
                <w:lang w:val="en-US" w:eastAsia="zh-CN"/>
              </w:rPr>
              <w:t>商务标、</w:t>
            </w:r>
            <w:r>
              <w:rPr>
                <w:rFonts w:hint="eastAsia" w:ascii="宋体" w:hAnsi="宋体" w:eastAsia="宋体" w:cs="宋体"/>
                <w:color w:val="auto"/>
                <w:sz w:val="21"/>
                <w:szCs w:val="21"/>
                <w:highlight w:val="none"/>
              </w:rPr>
              <w:t>技术标</w:t>
            </w:r>
            <w:r>
              <w:rPr>
                <w:rFonts w:hint="eastAsia" w:ascii="宋体" w:hAnsi="宋体" w:eastAsia="宋体" w:cs="宋体"/>
                <w:b/>
                <w:color w:val="auto"/>
                <w:sz w:val="21"/>
                <w:szCs w:val="21"/>
                <w:highlight w:val="none"/>
              </w:rPr>
              <w:t>必须分开</w:t>
            </w:r>
            <w:r>
              <w:rPr>
                <w:rFonts w:hint="eastAsia" w:ascii="宋体" w:hAnsi="宋体" w:eastAsia="宋体" w:cs="宋体"/>
                <w:color w:val="auto"/>
                <w:sz w:val="21"/>
                <w:szCs w:val="21"/>
                <w:highlight w:val="none"/>
              </w:rPr>
              <w:t>装订</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rPr>
              <w:t>密封，</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须提交所有标书的</w:t>
            </w:r>
            <w:r>
              <w:rPr>
                <w:rFonts w:hint="eastAsia" w:ascii="宋体" w:hAnsi="宋体" w:eastAsia="宋体" w:cs="宋体"/>
                <w:b/>
                <w:color w:val="auto"/>
                <w:sz w:val="21"/>
                <w:szCs w:val="21"/>
                <w:highlight w:val="none"/>
              </w:rPr>
              <w:t>电子标（U盘）一份（装入</w:t>
            </w:r>
            <w:r>
              <w:rPr>
                <w:rFonts w:hint="eastAsia" w:ascii="宋体" w:hAnsi="宋体" w:eastAsia="宋体" w:cs="宋体"/>
                <w:b/>
                <w:color w:val="auto"/>
                <w:sz w:val="21"/>
                <w:szCs w:val="21"/>
                <w:highlight w:val="none"/>
                <w:lang w:val="en-US" w:eastAsia="zh-CN"/>
              </w:rPr>
              <w:t>商务标</w:t>
            </w:r>
            <w:r>
              <w:rPr>
                <w:rFonts w:hint="eastAsia" w:ascii="宋体" w:hAnsi="宋体" w:eastAsia="宋体" w:cs="宋体"/>
                <w:b/>
                <w:color w:val="auto"/>
                <w:sz w:val="21"/>
                <w:szCs w:val="21"/>
                <w:highlight w:val="none"/>
              </w:rPr>
              <w:t>密封袋中）</w:t>
            </w:r>
            <w:r>
              <w:rPr>
                <w:rFonts w:hint="eastAsia" w:ascii="宋体" w:hAnsi="宋体" w:eastAsia="宋体" w:cs="宋体"/>
                <w:color w:val="auto"/>
                <w:sz w:val="21"/>
                <w:szCs w:val="21"/>
                <w:highlight w:val="none"/>
              </w:rPr>
              <w:t>。</w:t>
            </w:r>
          </w:p>
        </w:tc>
      </w:tr>
      <w:tr w14:paraId="1507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59" w:type="dxa"/>
            <w:vAlign w:val="center"/>
          </w:tcPr>
          <w:p w14:paraId="27F2DF86">
            <w:pPr>
              <w:spacing w:line="30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val="en-US" w:eastAsia="zh-CN"/>
              </w:rPr>
              <w:t>5</w:t>
            </w:r>
          </w:p>
        </w:tc>
        <w:tc>
          <w:tcPr>
            <w:tcW w:w="1419" w:type="dxa"/>
            <w:vAlign w:val="center"/>
          </w:tcPr>
          <w:p w14:paraId="6676843B">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关于偏离说明</w:t>
            </w:r>
          </w:p>
        </w:tc>
        <w:tc>
          <w:tcPr>
            <w:tcW w:w="7936" w:type="dxa"/>
            <w:vAlign w:val="center"/>
          </w:tcPr>
          <w:p w14:paraId="040841ED">
            <w:pPr>
              <w:spacing w:line="300" w:lineRule="auto"/>
              <w:jc w:val="both"/>
              <w:rPr>
                <w:rFonts w:hint="eastAsia" w:ascii="宋体" w:hAnsi="宋体" w:eastAsia="宋体" w:cs="宋体"/>
                <w:color w:val="auto"/>
                <w:sz w:val="21"/>
                <w:szCs w:val="21"/>
                <w:highlight w:val="none"/>
              </w:rPr>
            </w:pPr>
            <w:r>
              <w:rPr>
                <w:rFonts w:hint="eastAsia" w:ascii="宋体" w:hAnsi="宋体" w:eastAsia="宋体" w:cs="宋体"/>
                <w:sz w:val="21"/>
                <w:szCs w:val="21"/>
              </w:rPr>
              <w:t>1</w:t>
            </w:r>
            <w:r>
              <w:rPr>
                <w:rFonts w:hint="eastAsia" w:ascii="宋体" w:hAnsi="宋体" w:eastAsia="宋体" w:cs="宋体"/>
                <w:color w:val="auto"/>
                <w:sz w:val="21"/>
                <w:szCs w:val="21"/>
                <w:highlight w:val="none"/>
                <w:lang w:val="en-US" w:eastAsia="zh-CN"/>
              </w:rPr>
              <w:t>、标有“★”的条款为必须完全满足的实质性要求，投标人如有一项带“★”的条款未响应或负偏离，将按无效投标处理；</w:t>
            </w:r>
            <w:r>
              <w:rPr>
                <w:rFonts w:hint="eastAsia" w:ascii="宋体" w:hAnsi="宋体" w:eastAsia="宋体" w:cs="宋体"/>
                <w:b w:val="0"/>
                <w:bCs w:val="0"/>
                <w:color w:val="auto"/>
                <w:sz w:val="21"/>
                <w:szCs w:val="21"/>
                <w:highlight w:val="none"/>
                <w:lang w:val="en-US" w:eastAsia="zh-CN"/>
              </w:rPr>
              <w:t>未标注“★”非核心条款允许可同等替代的偏离，贵单位需在商务/技术偏离表中详细说明替代方案。</w:t>
            </w:r>
          </w:p>
        </w:tc>
      </w:tr>
      <w:tr w14:paraId="5600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59" w:type="dxa"/>
            <w:vAlign w:val="center"/>
          </w:tcPr>
          <w:p w14:paraId="3802B007">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1</w:t>
            </w:r>
            <w:r>
              <w:rPr>
                <w:rFonts w:hint="eastAsia" w:hAnsi="宋体" w:cs="宋体"/>
                <w:bCs/>
                <w:color w:val="auto"/>
                <w:sz w:val="21"/>
                <w:szCs w:val="21"/>
                <w:highlight w:val="none"/>
                <w:lang w:val="en-US" w:eastAsia="zh-CN"/>
              </w:rPr>
              <w:t>6</w:t>
            </w:r>
          </w:p>
        </w:tc>
        <w:tc>
          <w:tcPr>
            <w:tcW w:w="1419" w:type="dxa"/>
            <w:vAlign w:val="center"/>
          </w:tcPr>
          <w:p w14:paraId="751221BB">
            <w:pPr>
              <w:spacing w:line="30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提交投标文件截止时间及地点</w:t>
            </w:r>
          </w:p>
        </w:tc>
        <w:tc>
          <w:tcPr>
            <w:tcW w:w="7936" w:type="dxa"/>
            <w:vAlign w:val="center"/>
          </w:tcPr>
          <w:p w14:paraId="2DA9348D">
            <w:pPr>
              <w:pStyle w:val="27"/>
              <w:numPr>
                <w:ilvl w:val="0"/>
                <w:numId w:val="0"/>
              </w:num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ar-SA"/>
              </w:rPr>
              <w:t>详见“投标邀请邮件通知”</w:t>
            </w:r>
          </w:p>
        </w:tc>
      </w:tr>
      <w:tr w14:paraId="3E9F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59" w:type="dxa"/>
            <w:vAlign w:val="center"/>
          </w:tcPr>
          <w:p w14:paraId="6416D830">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7</w:t>
            </w:r>
          </w:p>
        </w:tc>
        <w:tc>
          <w:tcPr>
            <w:tcW w:w="1419" w:type="dxa"/>
            <w:vAlign w:val="center"/>
          </w:tcPr>
          <w:p w14:paraId="77395B90">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评标原则</w:t>
            </w:r>
          </w:p>
        </w:tc>
        <w:tc>
          <w:tcPr>
            <w:tcW w:w="7936" w:type="dxa"/>
            <w:vAlign w:val="center"/>
          </w:tcPr>
          <w:p w14:paraId="09900B1A">
            <w:pPr>
              <w:snapToGrid w:val="0"/>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综合评估法</w:t>
            </w:r>
          </w:p>
        </w:tc>
      </w:tr>
      <w:tr w14:paraId="6414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859" w:type="dxa"/>
            <w:vAlign w:val="center"/>
          </w:tcPr>
          <w:p w14:paraId="42B2267F">
            <w:pPr>
              <w:spacing w:line="300" w:lineRule="auto"/>
              <w:jc w:val="center"/>
              <w:rPr>
                <w:rFonts w:hint="default"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val="en-US" w:eastAsia="zh-CN"/>
              </w:rPr>
              <w:t>8</w:t>
            </w:r>
          </w:p>
        </w:tc>
        <w:tc>
          <w:tcPr>
            <w:tcW w:w="1419" w:type="dxa"/>
            <w:vAlign w:val="center"/>
          </w:tcPr>
          <w:p w14:paraId="40A821AD">
            <w:pPr>
              <w:spacing w:line="30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本工程投标有效期</w:t>
            </w:r>
          </w:p>
        </w:tc>
        <w:tc>
          <w:tcPr>
            <w:tcW w:w="7936" w:type="dxa"/>
            <w:vAlign w:val="center"/>
          </w:tcPr>
          <w:p w14:paraId="5322EF2A">
            <w:pPr>
              <w:snapToGrid w:val="0"/>
              <w:spacing w:line="30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本招标工程投标有效期为</w:t>
            </w: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0日历天</w:t>
            </w:r>
          </w:p>
        </w:tc>
      </w:tr>
      <w:tr w14:paraId="50F3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59" w:type="dxa"/>
            <w:vAlign w:val="center"/>
          </w:tcPr>
          <w:p w14:paraId="0EA9FBDC">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19</w:t>
            </w:r>
          </w:p>
        </w:tc>
        <w:tc>
          <w:tcPr>
            <w:tcW w:w="1419" w:type="dxa"/>
            <w:vAlign w:val="center"/>
          </w:tcPr>
          <w:p w14:paraId="24EA62B8">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重要</w:t>
            </w:r>
            <w:r>
              <w:rPr>
                <w:rFonts w:hint="eastAsia" w:ascii="宋体" w:hAnsi="宋体" w:eastAsia="宋体" w:cs="宋体"/>
                <w:color w:val="auto"/>
                <w:sz w:val="21"/>
                <w:szCs w:val="21"/>
                <w:highlight w:val="none"/>
              </w:rPr>
              <w:t>说明</w:t>
            </w:r>
          </w:p>
        </w:tc>
        <w:tc>
          <w:tcPr>
            <w:tcW w:w="7936" w:type="dxa"/>
            <w:vAlign w:val="center"/>
          </w:tcPr>
          <w:p w14:paraId="2EB6C444">
            <w:pPr>
              <w:numPr>
                <w:ilvl w:val="0"/>
                <w:numId w:val="0"/>
              </w:numPr>
              <w:shd w:val="clear"/>
              <w:snapToGrid w:val="0"/>
              <w:spacing w:line="300" w:lineRule="auto"/>
              <w:rPr>
                <w:rFonts w:hint="default" w:ascii="宋体" w:hAnsi="宋体" w:eastAsia="宋体" w:cs="宋体"/>
                <w:b w:val="0"/>
                <w:bCs w:val="0"/>
                <w:color w:val="auto"/>
                <w:sz w:val="21"/>
                <w:szCs w:val="21"/>
                <w:highlight w:val="none"/>
                <w:lang w:val="en-US" w:eastAsia="zh-CN"/>
              </w:rPr>
            </w:pPr>
            <w:r>
              <w:rPr>
                <w:rFonts w:hint="eastAsia"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r>
              <w:rPr>
                <w:rFonts w:hint="eastAsia" w:hAnsi="宋体" w:cs="宋体"/>
                <w:color w:val="auto"/>
                <w:sz w:val="21"/>
                <w:szCs w:val="21"/>
                <w:highlight w:val="none"/>
                <w:lang w:val="en-US" w:eastAsia="zh-CN"/>
              </w:rPr>
              <w:t>此项目将视场地实际投入情况进行分批次检测治理及验收工作，乙方需无条件响应。</w:t>
            </w:r>
          </w:p>
          <w:p w14:paraId="0133BBCB">
            <w:pPr>
              <w:numPr>
                <w:ilvl w:val="0"/>
                <w:numId w:val="0"/>
              </w:numPr>
              <w:snapToGrid w:val="0"/>
              <w:spacing w:line="300" w:lineRule="auto"/>
              <w:rPr>
                <w:rFonts w:hint="eastAsia" w:ascii="宋体" w:hAnsi="宋体" w:eastAsia="宋体" w:cs="宋体"/>
                <w:b w:val="0"/>
                <w:bCs w:val="0"/>
                <w:color w:val="auto"/>
                <w:sz w:val="21"/>
                <w:szCs w:val="21"/>
                <w:highlight w:val="none"/>
                <w:lang w:val="en-US" w:eastAsia="zh-CN"/>
              </w:rPr>
            </w:pPr>
            <w:r>
              <w:rPr>
                <w:rFonts w:hint="eastAsia"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r>
              <w:rPr>
                <w:rFonts w:hint="eastAsia" w:hAnsi="宋体" w:cs="宋体"/>
                <w:color w:val="auto"/>
                <w:sz w:val="21"/>
                <w:szCs w:val="21"/>
                <w:highlight w:val="none"/>
                <w:lang w:val="en-US" w:eastAsia="zh-CN"/>
              </w:rPr>
              <w:t>投</w:t>
            </w:r>
            <w:r>
              <w:rPr>
                <w:rFonts w:hint="eastAsia" w:ascii="宋体" w:hAnsi="宋体" w:eastAsia="宋体" w:cs="宋体"/>
                <w:color w:val="auto"/>
                <w:sz w:val="21"/>
                <w:szCs w:val="21"/>
                <w:highlight w:val="none"/>
                <w:lang w:val="en-US" w:eastAsia="zh-CN"/>
              </w:rPr>
              <w:t>标人在广东地区须有稳定的售后服务团队。质保期自验收检测合格之日起不少于</w:t>
            </w:r>
            <w:r>
              <w:rPr>
                <w:rFonts w:hint="eastAsia" w:hAnsi="宋体" w:cs="宋体"/>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个月。质保期内，如室内空气质量复检不达标（非因甲方新增装修材料或人为原因所致），乙方须在接到甲方通知后48小时内到场，7日内免费进行补充治理，直至复检达标。补充治理期间产生的一切费用（含检测费、药剂费、人工费等）由乙方承担。如经两次补充治理仍不达标的，甲方有权解除合同并要求乙方退还已付全部款项</w:t>
            </w:r>
            <w:r>
              <w:rPr>
                <w:rFonts w:hint="eastAsia" w:hAnsi="宋体" w:cs="宋体"/>
                <w:b w:val="0"/>
                <w:bCs w:val="0"/>
                <w:color w:val="auto"/>
                <w:sz w:val="21"/>
                <w:szCs w:val="21"/>
                <w:highlight w:val="none"/>
                <w:lang w:val="en-US" w:eastAsia="zh-CN"/>
              </w:rPr>
              <w:t>；</w:t>
            </w:r>
          </w:p>
          <w:p w14:paraId="68AE243E">
            <w:pPr>
              <w:numPr>
                <w:ilvl w:val="0"/>
                <w:numId w:val="0"/>
              </w:numPr>
              <w:snapToGrid w:val="0"/>
              <w:spacing w:line="300" w:lineRule="auto"/>
              <w:rPr>
                <w:rFonts w:hint="eastAsia" w:ascii="宋体" w:hAnsi="宋体" w:eastAsia="宋体" w:cs="宋体"/>
                <w:b w:val="0"/>
                <w:bCs w:val="0"/>
                <w:color w:val="auto"/>
                <w:sz w:val="21"/>
                <w:szCs w:val="21"/>
                <w:highlight w:val="none"/>
              </w:rPr>
            </w:pPr>
            <w:r>
              <w:rPr>
                <w:rFonts w:hint="eastAsia"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rPr>
              <w:t>本工程招标范围内的工程内容，招标人有权取消</w:t>
            </w:r>
            <w:r>
              <w:rPr>
                <w:rFonts w:hint="eastAsia" w:hAnsi="宋体" w:cs="宋体"/>
                <w:b w:val="0"/>
                <w:bCs w:val="0"/>
                <w:color w:val="auto"/>
                <w:sz w:val="21"/>
                <w:szCs w:val="21"/>
                <w:highlight w:val="none"/>
                <w:lang w:val="en-US" w:eastAsia="zh-CN"/>
              </w:rPr>
              <w:t>和增补</w:t>
            </w:r>
            <w:r>
              <w:rPr>
                <w:rFonts w:hint="eastAsia" w:ascii="宋体" w:hAnsi="宋体" w:eastAsia="宋体" w:cs="宋体"/>
                <w:b w:val="0"/>
                <w:bCs w:val="0"/>
                <w:color w:val="auto"/>
                <w:sz w:val="21"/>
                <w:szCs w:val="21"/>
                <w:highlight w:val="none"/>
              </w:rPr>
              <w:t>。投标单位必须无条件遵从招标人的指令，相应金额从总价中扣除，并不能向招标人要求额外费用补偿和索赔。</w:t>
            </w:r>
          </w:p>
          <w:p w14:paraId="7E0B2740">
            <w:pPr>
              <w:numPr>
                <w:ilvl w:val="0"/>
                <w:numId w:val="0"/>
              </w:numPr>
              <w:snapToGrid w:val="0"/>
              <w:spacing w:line="300" w:lineRule="auto"/>
              <w:rPr>
                <w:rFonts w:hint="eastAsia" w:ascii="宋体" w:hAnsi="宋体" w:eastAsia="宋体" w:cs="宋体"/>
                <w:b w:val="0"/>
                <w:bCs w:val="0"/>
                <w:color w:val="auto"/>
                <w:sz w:val="21"/>
                <w:szCs w:val="21"/>
                <w:highlight w:val="none"/>
              </w:rPr>
            </w:pPr>
            <w:r>
              <w:rPr>
                <w:rFonts w:hint="eastAsia"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rPr>
              <w:t>投标单位进场施工前，必须做好其他专业</w:t>
            </w:r>
            <w:r>
              <w:rPr>
                <w:rFonts w:hint="eastAsia" w:ascii="宋体" w:hAnsi="宋体" w:eastAsia="宋体" w:cs="宋体"/>
                <w:b w:val="0"/>
                <w:bCs w:val="0"/>
                <w:color w:val="auto"/>
                <w:sz w:val="21"/>
                <w:szCs w:val="21"/>
                <w:highlight w:val="none"/>
                <w:lang w:val="en-US" w:eastAsia="zh-CN"/>
              </w:rPr>
              <w:t>已完工程</w:t>
            </w:r>
            <w:r>
              <w:rPr>
                <w:rFonts w:hint="eastAsia" w:ascii="宋体" w:hAnsi="宋体" w:eastAsia="宋体" w:cs="宋体"/>
                <w:b w:val="0"/>
                <w:bCs w:val="0"/>
                <w:color w:val="auto"/>
                <w:sz w:val="21"/>
                <w:szCs w:val="21"/>
                <w:highlight w:val="none"/>
              </w:rPr>
              <w:t>的成品保护，如因投标单位原因造成其他专业工程成品或半成品损坏，由投标单位负责修复或更换并接受甲方相应的处罚。</w:t>
            </w:r>
          </w:p>
          <w:p w14:paraId="7A94A190">
            <w:pPr>
              <w:numPr>
                <w:ilvl w:val="0"/>
                <w:numId w:val="0"/>
              </w:numPr>
              <w:snapToGrid w:val="0"/>
              <w:spacing w:line="300" w:lineRule="auto"/>
              <w:rPr>
                <w:rFonts w:hint="eastAsia" w:ascii="宋体" w:hAnsi="宋体" w:eastAsia="宋体" w:cs="宋体"/>
                <w:color w:val="auto"/>
                <w:sz w:val="21"/>
                <w:szCs w:val="21"/>
                <w:highlight w:val="none"/>
              </w:rPr>
            </w:pPr>
            <w:r>
              <w:rPr>
                <w:rFonts w:hint="eastAsia"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招标定标原则为综合评估法，如投标单位以中标为目的</w:t>
            </w:r>
            <w:r>
              <w:rPr>
                <w:rFonts w:hint="eastAsia" w:ascii="宋体" w:hAnsi="宋体" w:eastAsia="宋体" w:cs="宋体"/>
                <w:b w:val="0"/>
                <w:bCs w:val="0"/>
                <w:color w:val="auto"/>
                <w:sz w:val="21"/>
                <w:szCs w:val="21"/>
                <w:highlight w:val="none"/>
                <w:lang w:eastAsia="zh-CN"/>
              </w:rPr>
              <w:t>，在</w:t>
            </w:r>
            <w:r>
              <w:rPr>
                <w:rFonts w:hint="eastAsia" w:ascii="宋体" w:hAnsi="宋体" w:eastAsia="宋体" w:cs="宋体"/>
                <w:b w:val="0"/>
                <w:bCs w:val="0"/>
                <w:color w:val="auto"/>
                <w:sz w:val="21"/>
                <w:szCs w:val="21"/>
                <w:highlight w:val="none"/>
              </w:rPr>
              <w:t>投标中无正当理由压低报价，被招标人判定为恶意竞争的，将作为废标处理，招标人亦不会向投标人解释</w:t>
            </w:r>
            <w:r>
              <w:rPr>
                <w:rFonts w:hint="eastAsia" w:hAnsi="宋体" w:cs="宋体"/>
                <w:b w:val="0"/>
                <w:bCs w:val="0"/>
                <w:color w:val="auto"/>
                <w:sz w:val="21"/>
                <w:szCs w:val="21"/>
                <w:highlight w:val="none"/>
                <w:lang w:eastAsia="zh-CN"/>
              </w:rPr>
              <w:t>。</w:t>
            </w:r>
          </w:p>
        </w:tc>
      </w:tr>
      <w:bookmarkEnd w:id="76"/>
    </w:tbl>
    <w:p w14:paraId="7890EE0F">
      <w:pPr>
        <w:pStyle w:val="2"/>
        <w:spacing w:line="360" w:lineRule="auto"/>
        <w:jc w:val="center"/>
        <w:rPr>
          <w:rFonts w:hint="eastAsia" w:ascii="宋体" w:hAnsi="宋体" w:eastAsia="宋体" w:cs="宋体"/>
          <w:color w:val="auto"/>
          <w:sz w:val="32"/>
          <w:szCs w:val="21"/>
          <w:highlight w:val="none"/>
        </w:rPr>
      </w:pPr>
      <w:bookmarkStart w:id="77" w:name="_Toc27924"/>
      <w:bookmarkStart w:id="78" w:name="_Toc481596020"/>
      <w:bookmarkStart w:id="79" w:name="_Toc11081119"/>
      <w:bookmarkStart w:id="80" w:name="_Toc31742"/>
    </w:p>
    <w:p w14:paraId="063A8A30">
      <w:pPr>
        <w:rPr>
          <w:rFonts w:hint="eastAsia" w:ascii="宋体" w:hAnsi="宋体" w:eastAsia="宋体" w:cs="宋体"/>
          <w:color w:val="auto"/>
          <w:sz w:val="32"/>
          <w:szCs w:val="21"/>
          <w:highlight w:val="none"/>
        </w:rPr>
      </w:pPr>
    </w:p>
    <w:p w14:paraId="6CC9D106">
      <w:pPr>
        <w:rPr>
          <w:rFonts w:hint="eastAsia" w:ascii="宋体" w:hAnsi="宋体" w:eastAsia="宋体" w:cs="宋体"/>
          <w:color w:val="auto"/>
          <w:sz w:val="32"/>
          <w:szCs w:val="21"/>
          <w:highlight w:val="none"/>
        </w:rPr>
      </w:pPr>
    </w:p>
    <w:p w14:paraId="384E04BB">
      <w:pPr>
        <w:pStyle w:val="2"/>
        <w:spacing w:line="360" w:lineRule="auto"/>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第</w:t>
      </w:r>
      <w:r>
        <w:rPr>
          <w:rFonts w:hint="eastAsia" w:ascii="宋体" w:hAnsi="宋体" w:eastAsia="宋体" w:cs="宋体"/>
          <w:color w:val="auto"/>
          <w:sz w:val="32"/>
          <w:szCs w:val="21"/>
          <w:highlight w:val="none"/>
          <w:lang w:val="en-US" w:eastAsia="zh-CN"/>
        </w:rPr>
        <w:t>一</w:t>
      </w:r>
      <w:r>
        <w:rPr>
          <w:rFonts w:hint="eastAsia" w:ascii="宋体" w:hAnsi="宋体" w:eastAsia="宋体" w:cs="宋体"/>
          <w:color w:val="auto"/>
          <w:sz w:val="32"/>
          <w:szCs w:val="21"/>
          <w:highlight w:val="none"/>
        </w:rPr>
        <w:t xml:space="preserve">部分 </w:t>
      </w:r>
      <w:r>
        <w:rPr>
          <w:rFonts w:hint="eastAsia" w:ascii="宋体" w:hAnsi="宋体" w:eastAsia="宋体" w:cs="宋体"/>
          <w:color w:val="auto"/>
          <w:sz w:val="32"/>
          <w:szCs w:val="21"/>
          <w:highlight w:val="none"/>
          <w:lang w:val="en-US" w:eastAsia="zh-CN"/>
        </w:rPr>
        <w:t xml:space="preserve"> </w:t>
      </w:r>
      <w:r>
        <w:rPr>
          <w:rFonts w:hint="eastAsia" w:ascii="宋体" w:hAnsi="宋体" w:eastAsia="宋体" w:cs="宋体"/>
          <w:color w:val="auto"/>
          <w:sz w:val="32"/>
          <w:szCs w:val="21"/>
          <w:highlight w:val="none"/>
        </w:rPr>
        <w:t>投标须知</w:t>
      </w:r>
      <w:bookmarkEnd w:id="77"/>
      <w:bookmarkEnd w:id="78"/>
      <w:bookmarkEnd w:id="79"/>
      <w:bookmarkEnd w:id="80"/>
    </w:p>
    <w:p w14:paraId="7D2B2DE0">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81" w:name="_Toc481596021"/>
      <w:bookmarkStart w:id="82" w:name="_Toc9487"/>
      <w:bookmarkStart w:id="83" w:name="_Toc7299"/>
      <w:bookmarkStart w:id="84" w:name="_Toc216695511"/>
      <w:bookmarkStart w:id="85" w:name="_Toc11081120"/>
      <w:bookmarkStart w:id="86" w:name="_Toc362441701"/>
      <w:r>
        <w:rPr>
          <w:rFonts w:hint="eastAsia" w:ascii="宋体" w:hAnsi="宋体" w:eastAsia="宋体" w:cs="宋体"/>
          <w:b/>
          <w:snapToGrid w:val="0"/>
          <w:color w:val="auto"/>
          <w:sz w:val="24"/>
          <w:szCs w:val="21"/>
          <w:lang w:val="en-US" w:eastAsia="zh-CN" w:bidi="ar-SA"/>
        </w:rPr>
        <w:t>1、</w:t>
      </w:r>
      <w:r>
        <w:rPr>
          <w:rFonts w:hint="eastAsia" w:ascii="宋体" w:hAnsi="宋体" w:eastAsia="宋体" w:cs="宋体"/>
          <w:b/>
          <w:snapToGrid w:val="0"/>
          <w:color w:val="auto"/>
          <w:szCs w:val="21"/>
          <w:highlight w:val="none"/>
        </w:rPr>
        <w:t>项目简介</w:t>
      </w:r>
      <w:bookmarkEnd w:id="81"/>
      <w:bookmarkEnd w:id="82"/>
      <w:bookmarkEnd w:id="83"/>
      <w:bookmarkEnd w:id="84"/>
      <w:bookmarkEnd w:id="85"/>
      <w:bookmarkEnd w:id="86"/>
    </w:p>
    <w:p w14:paraId="0F1E612B">
      <w:pPr>
        <w:tabs>
          <w:tab w:val="left" w:pos="1406"/>
        </w:tabs>
        <w:spacing w:line="360" w:lineRule="auto"/>
        <w:ind w:left="708" w:leftChars="2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详见“投标须知前附表”</w:t>
      </w:r>
    </w:p>
    <w:p w14:paraId="6227897E">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87" w:name="_Toc11081121"/>
      <w:bookmarkStart w:id="88" w:name="_Toc30355"/>
      <w:bookmarkStart w:id="89" w:name="_Toc481596022"/>
      <w:bookmarkStart w:id="90" w:name="_Toc6482"/>
      <w:bookmarkStart w:id="91" w:name="_Toc362441702"/>
      <w:bookmarkStart w:id="92" w:name="_Toc162409841"/>
      <w:bookmarkStart w:id="93" w:name="_Toc162409981"/>
      <w:bookmarkStart w:id="94" w:name="_Toc216695513"/>
      <w:r>
        <w:rPr>
          <w:rFonts w:hint="eastAsia" w:ascii="宋体" w:hAnsi="宋体" w:eastAsia="宋体" w:cs="宋体"/>
          <w:b/>
          <w:snapToGrid w:val="0"/>
          <w:color w:val="auto"/>
          <w:sz w:val="24"/>
          <w:szCs w:val="21"/>
          <w:lang w:val="en-US" w:eastAsia="zh-CN" w:bidi="ar-SA"/>
        </w:rPr>
        <w:t>2、</w:t>
      </w:r>
      <w:r>
        <w:rPr>
          <w:rFonts w:hint="eastAsia" w:ascii="宋体" w:hAnsi="宋体" w:eastAsia="宋体" w:cs="宋体"/>
          <w:b/>
          <w:snapToGrid w:val="0"/>
          <w:color w:val="auto"/>
          <w:szCs w:val="21"/>
          <w:highlight w:val="none"/>
        </w:rPr>
        <w:t>招标内容</w:t>
      </w:r>
      <w:bookmarkEnd w:id="87"/>
      <w:bookmarkEnd w:id="88"/>
      <w:bookmarkEnd w:id="89"/>
      <w:bookmarkEnd w:id="90"/>
      <w:bookmarkEnd w:id="91"/>
    </w:p>
    <w:p w14:paraId="49DAED16">
      <w:pPr>
        <w:tabs>
          <w:tab w:val="left" w:pos="1406"/>
        </w:tabs>
        <w:spacing w:line="360" w:lineRule="auto"/>
        <w:ind w:left="708" w:leftChars="2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本次招标内容为</w:t>
      </w:r>
      <w:r>
        <w:rPr>
          <w:rFonts w:hint="eastAsia" w:ascii="宋体" w:hAnsi="宋体" w:eastAsia="宋体" w:cs="宋体"/>
          <w:color w:val="auto"/>
          <w:sz w:val="21"/>
          <w:szCs w:val="21"/>
          <w:highlight w:val="none"/>
          <w:lang w:eastAsia="zh-CN"/>
        </w:rPr>
        <w:t>深圳亚洲创建工业园城市更新项目</w:t>
      </w:r>
      <w:r>
        <w:rPr>
          <w:rFonts w:hint="eastAsia" w:hAnsi="宋体" w:cs="宋体"/>
          <w:color w:val="auto"/>
          <w:sz w:val="21"/>
          <w:szCs w:val="21"/>
          <w:highlight w:val="none"/>
          <w:lang w:val="en-US" w:eastAsia="zh-CN"/>
        </w:rPr>
        <w:t>空气检测及治理工程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具体范围详见</w:t>
      </w:r>
      <w:r>
        <w:rPr>
          <w:rFonts w:hint="eastAsia" w:ascii="宋体" w:hAnsi="宋体" w:eastAsia="宋体" w:cs="宋体"/>
          <w:color w:val="auto"/>
          <w:sz w:val="21"/>
          <w:szCs w:val="21"/>
          <w:highlight w:val="none"/>
          <w:lang w:val="en-US" w:eastAsia="zh-CN"/>
        </w:rPr>
        <w:t>图纸及招标</w:t>
      </w:r>
      <w:r>
        <w:rPr>
          <w:rFonts w:hint="eastAsia" w:ascii="宋体" w:hAnsi="宋体" w:eastAsia="宋体" w:cs="宋体"/>
          <w:color w:val="auto"/>
          <w:sz w:val="21"/>
          <w:szCs w:val="21"/>
          <w:highlight w:val="none"/>
        </w:rPr>
        <w:t>清单；</w:t>
      </w:r>
    </w:p>
    <w:p w14:paraId="6D0331F7">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95" w:name="_Toc362441703"/>
      <w:bookmarkStart w:id="96" w:name="_Toc11081122"/>
      <w:bookmarkStart w:id="97" w:name="_Toc17943"/>
      <w:bookmarkStart w:id="98" w:name="_Toc30778"/>
      <w:bookmarkStart w:id="99" w:name="_Toc481596023"/>
      <w:r>
        <w:rPr>
          <w:rFonts w:hint="eastAsia" w:ascii="宋体" w:hAnsi="宋体" w:eastAsia="宋体" w:cs="宋体"/>
          <w:b/>
          <w:snapToGrid w:val="0"/>
          <w:color w:val="auto"/>
          <w:sz w:val="24"/>
          <w:szCs w:val="21"/>
          <w:lang w:val="en-US" w:eastAsia="zh-CN" w:bidi="ar-SA"/>
        </w:rPr>
        <w:t>3、</w:t>
      </w:r>
      <w:r>
        <w:rPr>
          <w:rFonts w:hint="eastAsia" w:ascii="宋体" w:hAnsi="宋体" w:eastAsia="宋体" w:cs="宋体"/>
          <w:b/>
          <w:snapToGrid w:val="0"/>
          <w:color w:val="auto"/>
          <w:szCs w:val="21"/>
          <w:highlight w:val="none"/>
        </w:rPr>
        <w:t>工期及质量要求</w:t>
      </w:r>
      <w:bookmarkEnd w:id="95"/>
      <w:bookmarkEnd w:id="96"/>
      <w:bookmarkEnd w:id="97"/>
      <w:bookmarkEnd w:id="98"/>
      <w:bookmarkEnd w:id="99"/>
    </w:p>
    <w:p w14:paraId="3AE2B2FF">
      <w:pPr>
        <w:pStyle w:val="67"/>
        <w:numPr>
          <w:ilvl w:val="0"/>
          <w:numId w:val="6"/>
        </w:numPr>
        <w:tabs>
          <w:tab w:val="left" w:pos="709"/>
        </w:tabs>
        <w:spacing w:line="360" w:lineRule="auto"/>
        <w:ind w:left="0" w:firstLine="422"/>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kern w:val="0"/>
          <w:szCs w:val="21"/>
          <w:highlight w:val="none"/>
        </w:rPr>
        <w:t>总工期</w:t>
      </w:r>
    </w:p>
    <w:p w14:paraId="78A513B8">
      <w:pPr>
        <w:widowControl/>
        <w:tabs>
          <w:tab w:val="left" w:pos="1701"/>
        </w:tabs>
        <w:autoSpaceDE w:val="0"/>
        <w:autoSpaceDN w:val="0"/>
        <w:spacing w:line="300" w:lineRule="auto"/>
        <w:ind w:firstLine="420" w:firstLineChars="200"/>
        <w:rPr>
          <w:rFonts w:hint="eastAsia" w:ascii="宋体" w:hAnsi="宋体" w:eastAsia="宋体" w:cs="宋体"/>
          <w:b w:val="0"/>
          <w:bCs/>
          <w:color w:val="auto"/>
          <w:sz w:val="21"/>
          <w:szCs w:val="21"/>
          <w:highlight w:val="none"/>
          <w:lang w:val="en-US" w:eastAsia="zh-CN"/>
        </w:rPr>
      </w:pPr>
      <w:r>
        <w:rPr>
          <w:rFonts w:hint="eastAsia" w:hAnsi="宋体" w:cs="宋体"/>
          <w:b w:val="0"/>
          <w:bCs/>
          <w:color w:val="auto"/>
          <w:sz w:val="21"/>
          <w:szCs w:val="21"/>
          <w:highlight w:val="none"/>
          <w:lang w:val="en-US" w:eastAsia="zh-CN"/>
        </w:rPr>
        <w:t>检测治理及报告</w:t>
      </w: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en-US" w:eastAsia="zh-CN"/>
        </w:rPr>
        <w:t>天；</w:t>
      </w:r>
    </w:p>
    <w:p w14:paraId="0AA3E7D9">
      <w:pPr>
        <w:tabs>
          <w:tab w:val="left" w:pos="1406"/>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计划</w:t>
      </w:r>
      <w:r>
        <w:rPr>
          <w:rFonts w:hint="eastAsia" w:ascii="宋体" w:hAnsi="宋体" w:eastAsia="宋体" w:cs="宋体"/>
          <w:color w:val="auto"/>
          <w:sz w:val="21"/>
          <w:szCs w:val="21"/>
          <w:highlight w:val="none"/>
        </w:rPr>
        <w:t>开工日期：</w:t>
      </w:r>
      <w:bookmarkStart w:id="100" w:name="_Hlk106266510"/>
      <w:r>
        <w:rPr>
          <w:rFonts w:hint="eastAsia" w:ascii="宋体" w:hAnsi="宋体" w:eastAsia="宋体" w:cs="宋体"/>
          <w:b/>
          <w:bCs/>
          <w:color w:val="auto"/>
          <w:sz w:val="20"/>
          <w:szCs w:val="20"/>
          <w:highlight w:val="none"/>
          <w:u w:val="single"/>
        </w:rPr>
        <w:t>202</w:t>
      </w:r>
      <w:r>
        <w:rPr>
          <w:rFonts w:hint="eastAsia" w:ascii="宋体" w:hAnsi="宋体" w:eastAsia="宋体" w:cs="宋体"/>
          <w:b/>
          <w:bCs/>
          <w:color w:val="auto"/>
          <w:sz w:val="20"/>
          <w:szCs w:val="20"/>
          <w:highlight w:val="none"/>
          <w:u w:val="single"/>
          <w:lang w:val="en-US" w:eastAsia="zh-CN"/>
        </w:rPr>
        <w:t>6</w:t>
      </w:r>
      <w:r>
        <w:rPr>
          <w:rFonts w:hint="eastAsia" w:ascii="宋体" w:hAnsi="宋体" w:eastAsia="宋体" w:cs="宋体"/>
          <w:color w:val="auto"/>
          <w:sz w:val="20"/>
          <w:szCs w:val="20"/>
          <w:highlight w:val="none"/>
        </w:rPr>
        <w:t>年</w:t>
      </w:r>
      <w:r>
        <w:rPr>
          <w:rFonts w:hint="eastAsia" w:ascii="宋体" w:hAnsi="宋体" w:eastAsia="宋体" w:cs="宋体"/>
          <w:b/>
          <w:bCs/>
          <w:color w:val="auto"/>
          <w:sz w:val="20"/>
          <w:szCs w:val="20"/>
          <w:highlight w:val="none"/>
          <w:u w:val="single"/>
          <w:lang w:val="en-US" w:eastAsia="zh-CN"/>
        </w:rPr>
        <w:t xml:space="preserve">  </w:t>
      </w:r>
      <w:r>
        <w:rPr>
          <w:rFonts w:hint="eastAsia" w:hAnsi="宋体" w:cs="宋体"/>
          <w:b/>
          <w:bCs/>
          <w:color w:val="auto"/>
          <w:sz w:val="20"/>
          <w:szCs w:val="20"/>
          <w:highlight w:val="none"/>
          <w:u w:val="single"/>
          <w:lang w:val="en-US" w:eastAsia="zh-CN"/>
        </w:rPr>
        <w:t>8</w:t>
      </w:r>
      <w:r>
        <w:rPr>
          <w:rFonts w:hint="eastAsia" w:ascii="宋体" w:hAnsi="宋体" w:eastAsia="宋体" w:cs="宋体"/>
          <w:b/>
          <w:bCs/>
          <w:color w:val="auto"/>
          <w:sz w:val="20"/>
          <w:szCs w:val="20"/>
          <w:highlight w:val="none"/>
          <w:u w:val="single"/>
          <w:lang w:val="en-US" w:eastAsia="zh-CN"/>
        </w:rPr>
        <w:t xml:space="preserve"> </w:t>
      </w:r>
      <w:r>
        <w:rPr>
          <w:rFonts w:hint="eastAsia" w:ascii="宋体" w:hAnsi="宋体" w:eastAsia="宋体" w:cs="宋体"/>
          <w:color w:val="auto"/>
          <w:sz w:val="20"/>
          <w:szCs w:val="20"/>
          <w:highlight w:val="none"/>
        </w:rPr>
        <w:t>月</w:t>
      </w:r>
      <w:r>
        <w:rPr>
          <w:rFonts w:hint="eastAsia" w:ascii="宋体" w:hAnsi="宋体" w:eastAsia="宋体" w:cs="宋体"/>
          <w:b/>
          <w:bCs/>
          <w:color w:val="auto"/>
          <w:sz w:val="20"/>
          <w:szCs w:val="20"/>
          <w:highlight w:val="none"/>
          <w:u w:val="single"/>
          <w:lang w:val="en-US" w:eastAsia="zh-CN"/>
        </w:rPr>
        <w:t xml:space="preserve">  1 </w:t>
      </w:r>
      <w:r>
        <w:rPr>
          <w:rFonts w:hint="eastAsia" w:ascii="宋体" w:hAnsi="宋体" w:eastAsia="宋体" w:cs="宋体"/>
          <w:color w:val="auto"/>
          <w:sz w:val="20"/>
          <w:szCs w:val="20"/>
          <w:highlight w:val="none"/>
        </w:rPr>
        <w:t>日</w:t>
      </w:r>
      <w:bookmarkEnd w:id="100"/>
      <w:r>
        <w:rPr>
          <w:rFonts w:hint="eastAsia" w:ascii="宋体" w:hAnsi="宋体" w:eastAsia="宋体" w:cs="宋体"/>
          <w:color w:val="auto"/>
          <w:sz w:val="21"/>
          <w:szCs w:val="21"/>
          <w:highlight w:val="none"/>
        </w:rPr>
        <w:t>；具体日期以招标方书面</w:t>
      </w:r>
      <w:r>
        <w:rPr>
          <w:rFonts w:hint="eastAsia" w:ascii="宋体" w:hAnsi="宋体" w:eastAsia="宋体" w:cs="宋体"/>
          <w:color w:val="auto"/>
          <w:sz w:val="21"/>
          <w:szCs w:val="21"/>
          <w:highlight w:val="none"/>
          <w:lang w:val="en-US" w:eastAsia="zh-CN"/>
        </w:rPr>
        <w:t>排产</w:t>
      </w:r>
      <w:r>
        <w:rPr>
          <w:rFonts w:hint="eastAsia" w:ascii="宋体" w:hAnsi="宋体" w:eastAsia="宋体" w:cs="宋体"/>
          <w:color w:val="auto"/>
          <w:sz w:val="21"/>
          <w:szCs w:val="21"/>
          <w:highlight w:val="none"/>
        </w:rPr>
        <w:t>通知为准。</w:t>
      </w:r>
    </w:p>
    <w:p w14:paraId="3D3A0A34">
      <w:pPr>
        <w:tabs>
          <w:tab w:val="left" w:pos="709"/>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总工期及各阶段工期必须满足招标方施工进度要求。招标方有权根据项目实际情况调整相关工期，投标方须无条件予以配合、执行，并按照合同约定按期、保质</w:t>
      </w:r>
      <w:r>
        <w:rPr>
          <w:rFonts w:hint="eastAsia" w:ascii="宋体" w:hAnsi="宋体" w:eastAsia="宋体" w:cs="宋体"/>
          <w:color w:val="auto"/>
          <w:sz w:val="21"/>
          <w:szCs w:val="21"/>
          <w:highlight w:val="none"/>
          <w:lang w:eastAsia="zh-CN"/>
        </w:rPr>
        <w:t>地</w:t>
      </w:r>
      <w:r>
        <w:rPr>
          <w:rFonts w:hint="eastAsia" w:ascii="宋体" w:hAnsi="宋体" w:eastAsia="宋体" w:cs="宋体"/>
          <w:color w:val="auto"/>
          <w:sz w:val="21"/>
          <w:szCs w:val="21"/>
          <w:highlight w:val="none"/>
        </w:rPr>
        <w:t>完成施工任务。</w:t>
      </w:r>
    </w:p>
    <w:p w14:paraId="1E45B2DA">
      <w:pPr>
        <w:tabs>
          <w:tab w:val="left" w:pos="709"/>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上述工期包括进场准备、公休、法定节假日及春节假期、恶劣天气等，已充分考虑了施工期间可能遇到的停水及停电等因素。</w:t>
      </w:r>
    </w:p>
    <w:p w14:paraId="6A3C0F60">
      <w:pPr>
        <w:pStyle w:val="67"/>
        <w:numPr>
          <w:ilvl w:val="0"/>
          <w:numId w:val="6"/>
        </w:numPr>
        <w:tabs>
          <w:tab w:val="left" w:pos="709"/>
        </w:tabs>
        <w:spacing w:line="360" w:lineRule="auto"/>
        <w:ind w:left="0" w:firstLine="422"/>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质量要求</w:t>
      </w:r>
    </w:p>
    <w:p w14:paraId="26B0475A">
      <w:pPr>
        <w:tabs>
          <w:tab w:val="left" w:pos="1406"/>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符合国家、地方、行业规范以及招标文件</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要求，达到质量合格要求</w:t>
      </w:r>
    </w:p>
    <w:bookmarkEnd w:id="92"/>
    <w:bookmarkEnd w:id="93"/>
    <w:bookmarkEnd w:id="94"/>
    <w:p w14:paraId="454D2AB6">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101" w:name="_Toc481596024"/>
      <w:bookmarkStart w:id="102" w:name="_Toc162409843"/>
      <w:bookmarkStart w:id="103" w:name="_Toc216695515"/>
      <w:bookmarkStart w:id="104" w:name="_Toc23367"/>
      <w:bookmarkStart w:id="105" w:name="_Toc162409983"/>
      <w:bookmarkStart w:id="106" w:name="_Toc10478"/>
      <w:bookmarkStart w:id="107" w:name="_Toc362441705"/>
      <w:bookmarkStart w:id="108" w:name="_Toc11081123"/>
      <w:r>
        <w:rPr>
          <w:rFonts w:hint="eastAsia" w:ascii="宋体" w:hAnsi="宋体" w:eastAsia="宋体" w:cs="宋体"/>
          <w:b/>
          <w:snapToGrid w:val="0"/>
          <w:color w:val="auto"/>
          <w:sz w:val="24"/>
          <w:szCs w:val="21"/>
          <w:lang w:val="en-US" w:eastAsia="zh-CN" w:bidi="ar-SA"/>
        </w:rPr>
        <w:t>4、</w:t>
      </w:r>
      <w:r>
        <w:rPr>
          <w:rFonts w:hint="eastAsia" w:ascii="宋体" w:hAnsi="宋体" w:eastAsia="宋体" w:cs="宋体"/>
          <w:b/>
          <w:snapToGrid w:val="0"/>
          <w:color w:val="auto"/>
          <w:szCs w:val="21"/>
          <w:highlight w:val="none"/>
        </w:rPr>
        <w:t>现场踏勘</w:t>
      </w:r>
      <w:bookmarkEnd w:id="101"/>
      <w:bookmarkEnd w:id="102"/>
      <w:bookmarkEnd w:id="103"/>
      <w:bookmarkEnd w:id="104"/>
      <w:bookmarkEnd w:id="105"/>
      <w:bookmarkEnd w:id="106"/>
      <w:bookmarkEnd w:id="107"/>
      <w:bookmarkEnd w:id="108"/>
    </w:p>
    <w:p w14:paraId="77F3BC8E">
      <w:pPr>
        <w:pStyle w:val="67"/>
        <w:numPr>
          <w:ilvl w:val="0"/>
          <w:numId w:val="7"/>
        </w:numPr>
        <w:spacing w:line="360" w:lineRule="auto"/>
        <w:ind w:left="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现场踏勘联系人：</w:t>
      </w:r>
      <w:r>
        <w:rPr>
          <w:rFonts w:hint="eastAsia" w:ascii="宋体" w:hAnsi="宋体" w:eastAsia="宋体" w:cs="宋体"/>
          <w:b/>
          <w:bCs/>
          <w:color w:val="auto"/>
          <w:kern w:val="0"/>
          <w:szCs w:val="21"/>
          <w:highlight w:val="none"/>
          <w:u w:val="single"/>
          <w:lang w:val="en-US" w:eastAsia="zh-CN"/>
        </w:rPr>
        <w:t xml:space="preserve"> 崔庆华   </w:t>
      </w:r>
      <w:r>
        <w:rPr>
          <w:rFonts w:hint="eastAsia" w:ascii="宋体" w:hAnsi="宋体" w:eastAsia="宋体" w:cs="宋体"/>
          <w:color w:val="auto"/>
          <w:kern w:val="0"/>
          <w:szCs w:val="21"/>
          <w:highlight w:val="none"/>
        </w:rPr>
        <w:t>，联系电话：</w:t>
      </w:r>
      <w:r>
        <w:rPr>
          <w:rFonts w:hint="eastAsia" w:ascii="宋体" w:hAnsi="宋体" w:eastAsia="宋体" w:cs="宋体"/>
          <w:b/>
          <w:bCs/>
          <w:color w:val="auto"/>
          <w:kern w:val="0"/>
          <w:szCs w:val="21"/>
          <w:highlight w:val="none"/>
          <w:u w:val="single"/>
          <w:lang w:val="en-US" w:eastAsia="zh-CN"/>
        </w:rPr>
        <w:t xml:space="preserve"> 19353406904   </w:t>
      </w:r>
      <w:r>
        <w:rPr>
          <w:rFonts w:hint="eastAsia" w:ascii="宋体" w:hAnsi="宋体" w:eastAsia="宋体" w:cs="宋体"/>
          <w:color w:val="auto"/>
          <w:kern w:val="0"/>
          <w:szCs w:val="21"/>
          <w:highlight w:val="none"/>
        </w:rPr>
        <w:t>。投标单位须到现场充分查勘地形、地质和周边情况，并据此采取相应的施工措施保证施工安全、质量、工期，投标报价视为已充分了解本招标工程的条件和状况，投标人在踏勘场地前须提前一天预约。</w:t>
      </w:r>
    </w:p>
    <w:p w14:paraId="62531C9F">
      <w:pPr>
        <w:pStyle w:val="67"/>
        <w:numPr>
          <w:ilvl w:val="0"/>
          <w:numId w:val="7"/>
        </w:numPr>
        <w:spacing w:line="360" w:lineRule="auto"/>
        <w:ind w:left="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投标人应在</w:t>
      </w:r>
      <w:r>
        <w:rPr>
          <w:rFonts w:hint="eastAsia" w:ascii="宋体" w:hAnsi="宋体" w:eastAsia="宋体" w:cs="宋体"/>
          <w:b/>
          <w:bCs/>
          <w:color w:val="auto"/>
          <w:kern w:val="0"/>
          <w:szCs w:val="21"/>
          <w:highlight w:val="none"/>
          <w:u w:val="single"/>
          <w:lang w:val="en-US" w:eastAsia="zh-CN"/>
        </w:rPr>
        <w:t>投标截止</w:t>
      </w:r>
      <w:r>
        <w:rPr>
          <w:rFonts w:hint="eastAsia" w:ascii="宋体" w:hAnsi="宋体" w:eastAsia="宋体" w:cs="宋体"/>
          <w:b/>
          <w:bCs/>
          <w:color w:val="auto"/>
          <w:kern w:val="0"/>
          <w:szCs w:val="21"/>
          <w:highlight w:val="none"/>
          <w:u w:val="single"/>
        </w:rPr>
        <w:t>日</w:t>
      </w:r>
      <w:r>
        <w:rPr>
          <w:rFonts w:hint="eastAsia" w:ascii="宋体" w:hAnsi="宋体" w:eastAsia="宋体" w:cs="宋体"/>
          <w:color w:val="auto"/>
          <w:kern w:val="0"/>
          <w:szCs w:val="21"/>
          <w:highlight w:val="none"/>
        </w:rPr>
        <w:t>前对本工程现场及周围环境踏勘，以便获取投标人编制投标文件和签署合同所需的所有资料。无论投标人是否踏勘过现场，均被认为在递交投标文件之前已经踏勘现场，对本合同项目的风险和义务已经十分了解，并在其投标文件中已充分考虑了现场和环境条件</w:t>
      </w:r>
      <w:r>
        <w:rPr>
          <w:rFonts w:hint="eastAsia" w:ascii="宋体" w:hAnsi="宋体" w:cs="宋体"/>
          <w:color w:val="auto"/>
          <w:kern w:val="0"/>
          <w:szCs w:val="21"/>
          <w:highlight w:val="none"/>
          <w:lang w:val="en-US" w:eastAsia="zh-CN"/>
        </w:rPr>
        <w:t>.</w:t>
      </w:r>
      <w:r>
        <w:rPr>
          <w:rFonts w:hint="eastAsia" w:ascii="宋体" w:hAnsi="宋体" w:eastAsia="宋体" w:cs="宋体"/>
          <w:color w:val="auto"/>
          <w:kern w:val="0"/>
          <w:szCs w:val="21"/>
          <w:highlight w:val="none"/>
        </w:rPr>
        <w:t>招标人向投标人提供的有关现场的资料和数据（具体数</w:t>
      </w:r>
      <w:r>
        <w:rPr>
          <w:rFonts w:hint="eastAsia" w:ascii="宋体" w:hAnsi="宋体" w:eastAsia="宋体" w:cs="宋体"/>
          <w:color w:val="auto"/>
          <w:kern w:val="0"/>
          <w:szCs w:val="21"/>
          <w:highlight w:val="none"/>
          <w:lang w:eastAsia="zh-CN"/>
        </w:rPr>
        <w:t>据由</w:t>
      </w:r>
      <w:r>
        <w:rPr>
          <w:rFonts w:hint="eastAsia" w:ascii="宋体" w:hAnsi="宋体" w:eastAsia="宋体" w:cs="宋体"/>
          <w:color w:val="auto"/>
          <w:kern w:val="0"/>
          <w:szCs w:val="21"/>
          <w:highlight w:val="none"/>
        </w:rPr>
        <w:t>投标人自行核实真实性），是招标人现有的能提供给投标人参考的资料，招标人对投标人由此做出的推论、理解和结论概不负责。</w:t>
      </w:r>
    </w:p>
    <w:p w14:paraId="5730006E">
      <w:pPr>
        <w:pStyle w:val="67"/>
        <w:numPr>
          <w:ilvl w:val="0"/>
          <w:numId w:val="7"/>
        </w:numPr>
        <w:spacing w:line="360" w:lineRule="auto"/>
        <w:ind w:left="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及其人员经过招标人的允许，以踏勘目的进入招标人的工程现场，不得因此使招标人及其人员承担有关的责任和遭受损失，同时投标人应对由此次踏勘现场而造成的人员死亡、人身伤害、财产损失、损害以及任何其它损失、损害和引起的费用、开支承担全部责任。</w:t>
      </w:r>
    </w:p>
    <w:p w14:paraId="36833B99">
      <w:pPr>
        <w:pStyle w:val="67"/>
        <w:numPr>
          <w:ilvl w:val="0"/>
          <w:numId w:val="7"/>
        </w:numPr>
        <w:spacing w:line="360" w:lineRule="auto"/>
        <w:ind w:left="0" w:firstLine="420"/>
        <w:rPr>
          <w:rFonts w:hint="eastAsia" w:ascii="宋体" w:hAnsi="宋体" w:eastAsia="宋体" w:cs="宋体"/>
          <w:b/>
          <w:snapToGrid w:val="0"/>
          <w:color w:val="auto"/>
          <w:szCs w:val="21"/>
          <w:highlight w:val="none"/>
        </w:rPr>
      </w:pPr>
      <w:r>
        <w:rPr>
          <w:rFonts w:hint="eastAsia" w:ascii="宋体" w:hAnsi="宋体" w:eastAsia="宋体" w:cs="宋体"/>
          <w:color w:val="auto"/>
          <w:kern w:val="0"/>
          <w:szCs w:val="21"/>
          <w:highlight w:val="none"/>
        </w:rPr>
        <w:t>如果投标人认为需要再次进行现场踏勘，招标人将尽可能予以支持，但所发生的费用由投标人自理。</w:t>
      </w:r>
      <w:bookmarkStart w:id="109" w:name="_Toc481596076"/>
      <w:bookmarkStart w:id="110" w:name="_Toc362441771"/>
    </w:p>
    <w:p w14:paraId="146335A5">
      <w:pPr>
        <w:pStyle w:val="67"/>
        <w:numPr>
          <w:ilvl w:val="0"/>
          <w:numId w:val="0"/>
        </w:numPr>
        <w:spacing w:line="360" w:lineRule="auto"/>
        <w:rPr>
          <w:rFonts w:hint="eastAsia" w:ascii="宋体" w:hAnsi="宋体" w:eastAsia="宋体" w:cs="宋体"/>
          <w:b/>
          <w:snapToGrid w:val="0"/>
          <w:color w:val="auto"/>
          <w:szCs w:val="21"/>
          <w:highlight w:val="none"/>
        </w:rPr>
      </w:pPr>
      <w:r>
        <w:rPr>
          <w:rFonts w:hint="default" w:ascii="宋体" w:hAnsi="宋体" w:eastAsia="宋体" w:cs="宋体"/>
          <w:b/>
          <w:snapToGrid w:val="0"/>
          <w:color w:val="auto"/>
          <w:sz w:val="24"/>
          <w:szCs w:val="21"/>
          <w:lang w:val="en-US" w:eastAsia="zh-CN" w:bidi="ar-SA"/>
        </w:rPr>
        <w:t>5.</w:t>
      </w:r>
      <w:r>
        <w:rPr>
          <w:rFonts w:hint="eastAsia" w:ascii="宋体" w:hAnsi="宋体" w:eastAsia="宋体" w:cs="宋体"/>
          <w:b/>
          <w:snapToGrid w:val="0"/>
          <w:color w:val="auto"/>
          <w:szCs w:val="21"/>
          <w:highlight w:val="none"/>
        </w:rPr>
        <w:t>说明</w:t>
      </w:r>
    </w:p>
    <w:p w14:paraId="7EC4E52D">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5.1投标人在提交投标文件前，须对本次采购的有关技术说明、质量要求等情况已详细了解清楚，并充分考虑可能发生的一切费用。</w:t>
      </w:r>
    </w:p>
    <w:p w14:paraId="7159929D">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5.2投标人在提交投标文件前，已充分考虑现场要求、材料供应、运输故障、气候影响、分标段施工、为保证工程交付进度及产品质量所采取的一切技术措施等所需的费用和工期。</w:t>
      </w:r>
    </w:p>
    <w:p w14:paraId="31AEDE1B">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5.3投标人须认真研究招标文件的全部内容，如果投标人的投标文件不能符合招标文件的要求，投标文件将被拒绝。</w:t>
      </w:r>
    </w:p>
    <w:p w14:paraId="48219361">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5.4此招标文件、招标文件补充说明、附件变更及招标答疑会会议纪要等均为投标人编制投标书的重要依据，亦为日后签订合同的重要依据，与合同具有同等法律效力，望投标人予以重视。</w:t>
      </w:r>
    </w:p>
    <w:p w14:paraId="4164A8C7">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5.5投标人在参加本工程招标活动中，必须由本企业的法定代表人或法定代表人的委托人参加，不得委派其他人员参加，若有发现均按中途退标处理。</w:t>
      </w:r>
    </w:p>
    <w:p w14:paraId="0B75C1CA">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5.6投标人应按招标文件规定的日程安排，准时参加招标各项活动，并在投标时递交应验的法定代表人或法定代表人的委托人的证明书。</w:t>
      </w:r>
    </w:p>
    <w:p w14:paraId="6199E548">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5.7投标人一旦向招标方正式递交投标文件，则视为接受招标方在招标文件中提出的所有要求，包括合同、技术标准等。一旦中标，投标人不得以任何</w:t>
      </w:r>
      <w:r>
        <w:rPr>
          <w:rFonts w:hint="eastAsia" w:ascii="宋体" w:hAnsi="宋体" w:eastAsia="宋体" w:cs="宋体"/>
          <w:color w:val="auto"/>
          <w:sz w:val="21"/>
          <w:szCs w:val="21"/>
          <w:highlight w:val="none"/>
          <w:lang w:val="en-US" w:eastAsia="zh-CN"/>
        </w:rPr>
        <w:t>借</w:t>
      </w:r>
      <w:r>
        <w:rPr>
          <w:rFonts w:hint="eastAsia" w:ascii="宋体" w:hAnsi="宋体" w:eastAsia="宋体" w:cs="宋体"/>
          <w:color w:val="auto"/>
          <w:sz w:val="21"/>
          <w:szCs w:val="21"/>
          <w:highlight w:val="none"/>
        </w:rPr>
        <w:t>口提出包括调整报价、工期延长、改变协议条款、调整技术标准等要求，若提出要求，招标方不做任何考虑并保留取消投标人中标的资格。</w:t>
      </w:r>
    </w:p>
    <w:p w14:paraId="38A9E618">
      <w:pPr>
        <w:pStyle w:val="29"/>
        <w:numPr>
          <w:ilvl w:val="0"/>
          <w:numId w:val="0"/>
        </w:numPr>
        <w:tabs>
          <w:tab w:val="left" w:pos="851"/>
        </w:tabs>
        <w:ind w:firstLine="420" w:firstLineChars="200"/>
        <w:rPr>
          <w:rFonts w:hint="eastAsia" w:ascii="宋体" w:hAnsi="宋体" w:eastAsia="宋体" w:cs="宋体"/>
          <w:color w:val="auto"/>
          <w:highlight w:val="none"/>
        </w:rPr>
      </w:pPr>
      <w:bookmarkStart w:id="111" w:name="_Toc351970923"/>
      <w:r>
        <w:rPr>
          <w:rFonts w:hint="eastAsia" w:ascii="宋体" w:hAnsi="宋体" w:eastAsia="宋体" w:cs="宋体"/>
          <w:b w:val="0"/>
          <w:color w:val="auto"/>
          <w:sz w:val="21"/>
          <w:szCs w:val="21"/>
          <w:highlight w:val="none"/>
          <w:lang w:val="en-US" w:eastAsia="zh-CN" w:bidi="ar-SA"/>
        </w:rPr>
        <w:t>5.8</w:t>
      </w:r>
      <w:r>
        <w:rPr>
          <w:rFonts w:hint="eastAsia" w:ascii="宋体" w:hAnsi="宋体" w:eastAsia="宋体" w:cs="宋体"/>
          <w:b/>
          <w:bCs/>
          <w:color w:val="auto"/>
          <w:sz w:val="21"/>
          <w:szCs w:val="21"/>
          <w:highlight w:val="none"/>
          <w:lang w:val="en-US" w:eastAsia="zh-CN" w:bidi="ar-SA"/>
        </w:rPr>
        <w:t>投标费用</w:t>
      </w:r>
      <w:bookmarkEnd w:id="111"/>
      <w:r>
        <w:rPr>
          <w:rFonts w:hint="eastAsia" w:ascii="宋体" w:hAnsi="宋体" w:eastAsia="宋体" w:cs="宋体"/>
          <w:b/>
          <w:bCs/>
          <w:color w:val="auto"/>
          <w:sz w:val="21"/>
          <w:szCs w:val="21"/>
          <w:highlight w:val="none"/>
          <w:lang w:val="en-US" w:eastAsia="zh-CN" w:bidi="ar-SA"/>
        </w:rPr>
        <w:t>：投标人在投标过程中发生的一切费用，不论中标与否，均由投标人自行承担，招标人不对投标人因本次投标所引起的任何费用或损失负责。</w:t>
      </w:r>
    </w:p>
    <w:p w14:paraId="2DB866E6">
      <w:pPr>
        <w:pStyle w:val="2"/>
        <w:spacing w:before="360" w:beforeLines="150" w:after="360" w:afterLines="150" w:line="360" w:lineRule="auto"/>
        <w:jc w:val="center"/>
        <w:rPr>
          <w:rFonts w:hint="eastAsia" w:ascii="宋体" w:hAnsi="宋体" w:eastAsia="宋体" w:cs="宋体"/>
          <w:color w:val="auto"/>
          <w:highlight w:val="none"/>
        </w:rPr>
      </w:pPr>
      <w:bookmarkStart w:id="112" w:name="_Toc486604842"/>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二</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招标文件组成</w:t>
      </w:r>
      <w:bookmarkEnd w:id="112"/>
    </w:p>
    <w:p w14:paraId="79B66724">
      <w:pPr>
        <w:keepNext/>
        <w:numPr>
          <w:ilvl w:val="0"/>
          <w:numId w:val="0"/>
        </w:numPr>
        <w:tabs>
          <w:tab w:val="left" w:pos="709"/>
        </w:tabs>
        <w:snapToGrid w:val="0"/>
        <w:spacing w:line="360" w:lineRule="auto"/>
        <w:rPr>
          <w:rFonts w:hint="eastAsia" w:ascii="宋体" w:hAnsi="宋体" w:eastAsia="宋体" w:cs="宋体"/>
          <w:b/>
          <w:snapToGrid w:val="0"/>
          <w:color w:val="auto"/>
          <w:szCs w:val="21"/>
          <w:highlight w:val="none"/>
        </w:rPr>
      </w:pPr>
      <w:bookmarkStart w:id="113" w:name="_Toc216695516"/>
      <w:bookmarkStart w:id="114" w:name="_Toc162409844"/>
      <w:bookmarkStart w:id="115" w:name="_Toc162409984"/>
      <w:bookmarkStart w:id="116" w:name="_Toc481596025"/>
      <w:bookmarkStart w:id="117" w:name="_Toc362441706"/>
      <w:r>
        <w:rPr>
          <w:rFonts w:hint="eastAsia" w:ascii="宋体" w:hAnsi="宋体" w:eastAsia="宋体" w:cs="宋体"/>
          <w:b/>
          <w:snapToGrid w:val="0"/>
          <w:color w:val="auto"/>
          <w:szCs w:val="21"/>
          <w:highlight w:val="none"/>
          <w:lang w:val="en-US" w:eastAsia="zh-CN"/>
        </w:rPr>
        <w:t>1.</w:t>
      </w:r>
      <w:r>
        <w:rPr>
          <w:rFonts w:hint="eastAsia" w:ascii="宋体" w:hAnsi="宋体" w:eastAsia="宋体" w:cs="宋体"/>
          <w:b/>
          <w:snapToGrid w:val="0"/>
          <w:color w:val="auto"/>
          <w:szCs w:val="21"/>
          <w:highlight w:val="none"/>
        </w:rPr>
        <w:t>招标文件组成</w:t>
      </w:r>
      <w:bookmarkEnd w:id="113"/>
      <w:bookmarkEnd w:id="114"/>
      <w:bookmarkEnd w:id="115"/>
      <w:bookmarkEnd w:id="116"/>
      <w:bookmarkEnd w:id="117"/>
    </w:p>
    <w:p w14:paraId="422706B5">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本工程招标文件包括下述内容：</w:t>
      </w:r>
      <w:r>
        <w:rPr>
          <w:rFonts w:hint="eastAsia" w:ascii="宋体" w:hAnsi="宋体" w:eastAsia="宋体" w:cs="宋体"/>
          <w:color w:val="auto"/>
          <w:sz w:val="21"/>
          <w:szCs w:val="21"/>
          <w:highlight w:val="none"/>
          <w:lang w:val="en-US" w:eastAsia="zh-CN"/>
        </w:rPr>
        <w:t xml:space="preserve"> </w:t>
      </w:r>
    </w:p>
    <w:p w14:paraId="5DA4AE2B">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投标邀请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投标邀请书、确认回执、投标须知前附表</w:t>
      </w:r>
      <w:r>
        <w:rPr>
          <w:rFonts w:hint="eastAsia" w:ascii="宋体" w:hAnsi="宋体" w:eastAsia="宋体" w:cs="宋体"/>
          <w:color w:val="auto"/>
          <w:sz w:val="21"/>
          <w:szCs w:val="21"/>
          <w:highlight w:val="none"/>
          <w:lang w:eastAsia="zh-CN"/>
        </w:rPr>
        <w:t>）</w:t>
      </w:r>
    </w:p>
    <w:p w14:paraId="334DD65E">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投标须知</w:t>
      </w:r>
    </w:p>
    <w:p w14:paraId="73B8BB93">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招标文件组成</w:t>
      </w:r>
    </w:p>
    <w:p w14:paraId="0B0BF251">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投标文件要求</w:t>
      </w:r>
    </w:p>
    <w:p w14:paraId="70798EFD">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投标文件评审</w:t>
      </w:r>
    </w:p>
    <w:p w14:paraId="7192AF73">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其他说明</w:t>
      </w:r>
    </w:p>
    <w:p w14:paraId="34AF6973">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招标文件附件</w:t>
      </w:r>
    </w:p>
    <w:p w14:paraId="4D72E1FB">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招标文件除包括上款所述内容外，招标人以邮件形式发出的对招标文件的澄清、修改或补充内容，均为招标文件的组成部分，对招标人和投标人起约束作用。</w:t>
      </w:r>
    </w:p>
    <w:p w14:paraId="4AE4DEC6">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投标人获取招标文件后，应仔细检查招标文件的所有内容，如有疑问应当及时向招标人提出。否则，由此引起的损失由投标人自行承担。</w:t>
      </w:r>
    </w:p>
    <w:p w14:paraId="79F8A504">
      <w:pPr>
        <w:tabs>
          <w:tab w:val="left" w:pos="851"/>
        </w:tabs>
        <w:spacing w:line="360" w:lineRule="auto"/>
        <w:ind w:firstLine="420" w:firstLineChars="200"/>
        <w:rPr>
          <w:rFonts w:hint="eastAsia" w:ascii="宋体" w:hAnsi="宋体" w:eastAsia="宋体" w:cs="宋体"/>
          <w:color w:val="auto"/>
          <w:szCs w:val="21"/>
          <w:highlight w:val="none"/>
        </w:rPr>
      </w:pP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投标人应认真研读招标文件各组成部分的内容，充分阅读、了解本招标文件的各项条款规定以及投标人一旦中标后须承担的合同义务和责任；如果投标人提交的投标文件不能响应本招标文件规定的实质性要求和条件，其责任及后果由投标人自行负责。</w:t>
      </w:r>
    </w:p>
    <w:p w14:paraId="5081B1E2">
      <w:pPr>
        <w:pStyle w:val="29"/>
        <w:numPr>
          <w:ilvl w:val="0"/>
          <w:numId w:val="0"/>
        </w:numPr>
        <w:tabs>
          <w:tab w:val="left" w:pos="851"/>
        </w:tabs>
        <w:ind w:leftChars="0"/>
        <w:rPr>
          <w:rFonts w:hint="eastAsia" w:ascii="宋体" w:hAnsi="宋体" w:eastAsia="宋体" w:cs="宋体"/>
          <w:color w:val="auto"/>
          <w:highlight w:val="none"/>
        </w:rPr>
      </w:pPr>
      <w:bookmarkStart w:id="118" w:name="_Toc162409846"/>
      <w:bookmarkStart w:id="119" w:name="_Toc162409986"/>
      <w:bookmarkStart w:id="120" w:name="_Toc216695517"/>
      <w:bookmarkStart w:id="121" w:name="_Toc362441707"/>
      <w:bookmarkStart w:id="122" w:name="_Toc481596026"/>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招标文件澄清</w:t>
      </w:r>
      <w:bookmarkEnd w:id="118"/>
      <w:bookmarkEnd w:id="119"/>
      <w:bookmarkEnd w:id="120"/>
      <w:r>
        <w:rPr>
          <w:rFonts w:hint="eastAsia" w:ascii="宋体" w:hAnsi="宋体" w:eastAsia="宋体" w:cs="宋体"/>
          <w:color w:val="auto"/>
          <w:highlight w:val="none"/>
        </w:rPr>
        <w:t>、修改及补充</w:t>
      </w:r>
      <w:bookmarkEnd w:id="121"/>
      <w:bookmarkEnd w:id="122"/>
    </w:p>
    <w:p w14:paraId="0EF4A47F">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投标人在收到招标文件后，应仔细检查招标文件的所有内容，如有残缺或文字表述不清，图纸尺寸标注不明以及存在错、漏、缺、概念模糊和有可能出现歧义或理解上的偏差的内容等,应按照招标文件中关于提交书面质疑所规定的截止时间，及时向招标人提出书面质疑。招标人有关澄清招标文件的任何形式的文件都将作为招标文件的合法组成部分，对投标人起约束作用；</w:t>
      </w:r>
    </w:p>
    <w:p w14:paraId="1DB5FAB9">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 对于投标人在阅读招标文件和现场踏勘中提出的疑问，投标人应在投标须知中规定的提交答疑问题截止时间前，以电子邮件形式向招标人提出澄清要求。招标人将以电子邮件形式答复（但不注明疑问来源）所有投标人。招标人对在规定的提交答疑问题截止时间后收到的任何疑问将拒绝答复。</w:t>
      </w:r>
    </w:p>
    <w:p w14:paraId="4A738073">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2.3如果招标人认为有必要以召开投标预备会的方式对投标人所提疑问进行解答，招标人将在举行投标预备会前通知所有投标人关于举行投标预备会的时间和地点等事宜。</w:t>
      </w:r>
    </w:p>
    <w:p w14:paraId="197449AA">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2.4招标文件发出后，无论出于何种原因，招标人可主动地或在解答投标人提出的澄清问题时对招标文件进行修改；</w:t>
      </w:r>
    </w:p>
    <w:p w14:paraId="5CC9ADCC">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2.5招标人将对招标文件的澄清文件、修改文件或补充文件以电子邮件形式发给所有投标人。由于澄清而产生的对招标文件的任何修改，将由招标人以招标文件补充文件的方式发出。</w:t>
      </w:r>
    </w:p>
    <w:p w14:paraId="558DDD98">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2.6招标文件的澄清、修改或补充文件在解释顺序方面优先于该类文件之前的文件。当招标文件及其澄清、修改或补充文件对同一内容表述不一致时，以最后发出的电子邮件为准。</w:t>
      </w:r>
    </w:p>
    <w:p w14:paraId="5FCAC1A3">
      <w:pPr>
        <w:numPr>
          <w:ilvl w:val="0"/>
          <w:numId w:val="0"/>
        </w:numPr>
        <w:tabs>
          <w:tab w:val="left" w:pos="851"/>
        </w:tabs>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2.7如果招标人对招标文件进行了修改补充，并认为有必要给予投标人充分的时间对招标文件的澄清、修改或补充等内容进行研究，招标人可能会通知所有投标人延长提交投标文件的截止时间。</w:t>
      </w:r>
    </w:p>
    <w:p w14:paraId="1EA971E5">
      <w:pPr>
        <w:pStyle w:val="2"/>
        <w:spacing w:before="360" w:beforeLines="150" w:after="360" w:afterLines="150" w:line="360" w:lineRule="auto"/>
        <w:jc w:val="center"/>
        <w:rPr>
          <w:rFonts w:hint="eastAsia" w:ascii="宋体" w:hAnsi="宋体" w:eastAsia="宋体" w:cs="宋体"/>
          <w:color w:val="auto"/>
          <w:highlight w:val="none"/>
        </w:rPr>
      </w:pPr>
      <w:bookmarkStart w:id="123" w:name="_Toc486604843"/>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三</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投标文件要求</w:t>
      </w:r>
      <w:bookmarkEnd w:id="123"/>
    </w:p>
    <w:p w14:paraId="30300B8A">
      <w:pPr>
        <w:pStyle w:val="29"/>
        <w:numPr>
          <w:ilvl w:val="0"/>
          <w:numId w:val="0"/>
        </w:numPr>
        <w:tabs>
          <w:tab w:val="left" w:pos="851"/>
        </w:tabs>
        <w:ind w:leftChars="0"/>
        <w:rPr>
          <w:rFonts w:hint="eastAsia" w:ascii="宋体" w:hAnsi="宋体" w:eastAsia="宋体" w:cs="宋体"/>
          <w:color w:val="auto"/>
          <w:highlight w:val="none"/>
        </w:rPr>
      </w:pPr>
      <w:bookmarkStart w:id="124" w:name="_Toc162409849"/>
      <w:bookmarkStart w:id="125" w:name="_Toc216695520"/>
      <w:bookmarkStart w:id="126" w:name="_Toc362441708"/>
      <w:bookmarkStart w:id="127" w:name="_Toc481596027"/>
      <w:bookmarkStart w:id="128" w:name="_Toc162409989"/>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投标文件</w:t>
      </w:r>
      <w:bookmarkEnd w:id="124"/>
      <w:bookmarkEnd w:id="125"/>
      <w:bookmarkEnd w:id="126"/>
      <w:bookmarkEnd w:id="127"/>
      <w:bookmarkEnd w:id="128"/>
      <w:r>
        <w:rPr>
          <w:rFonts w:hint="eastAsia" w:ascii="宋体" w:hAnsi="宋体" w:eastAsia="宋体" w:cs="宋体"/>
          <w:color w:val="auto"/>
          <w:highlight w:val="none"/>
        </w:rPr>
        <w:t>组成</w:t>
      </w:r>
    </w:p>
    <w:p w14:paraId="11351307">
      <w:pPr>
        <w:pStyle w:val="67"/>
        <w:ind w:firstLine="422"/>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1.1投标人编制的投标文件由以下内容组成：</w:t>
      </w:r>
    </w:p>
    <w:p w14:paraId="4468CF8F">
      <w:pPr>
        <w:pStyle w:val="67"/>
        <w:numPr>
          <w:ilvl w:val="0"/>
          <w:numId w:val="0"/>
        </w:numPr>
        <w:tabs>
          <w:tab w:val="left" w:pos="851"/>
        </w:tabs>
        <w:spacing w:line="360" w:lineRule="auto"/>
        <w:ind w:left="0"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lang w:val="en-US" w:eastAsia="zh-CN"/>
        </w:rPr>
        <w:t>1.1.1</w:t>
      </w:r>
      <w:r>
        <w:rPr>
          <w:rFonts w:hint="eastAsia" w:ascii="宋体" w:hAnsi="宋体" w:cs="宋体"/>
          <w:b w:val="0"/>
          <w:bCs/>
          <w:color w:val="auto"/>
          <w:szCs w:val="21"/>
          <w:highlight w:val="none"/>
        </w:rPr>
        <w:t>资信标</w:t>
      </w:r>
    </w:p>
    <w:p w14:paraId="7CFC5D30">
      <w:pPr>
        <w:pStyle w:val="67"/>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（1）</w:t>
      </w:r>
      <w:r>
        <w:rPr>
          <w:rFonts w:hint="eastAsia" w:ascii="宋体" w:hAnsi="宋体" w:cs="宋体"/>
          <w:b w:val="0"/>
          <w:bCs/>
          <w:color w:val="auto"/>
          <w:sz w:val="21"/>
          <w:szCs w:val="21"/>
          <w:highlight w:val="none"/>
        </w:rPr>
        <w:t>法定代表人证明书；</w:t>
      </w:r>
    </w:p>
    <w:p w14:paraId="542D2F23">
      <w:pPr>
        <w:pStyle w:val="67"/>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（2）</w:t>
      </w:r>
      <w:r>
        <w:rPr>
          <w:rFonts w:hint="eastAsia" w:ascii="宋体" w:hAnsi="宋体" w:cs="宋体"/>
          <w:b w:val="0"/>
          <w:bCs/>
          <w:color w:val="auto"/>
          <w:sz w:val="21"/>
          <w:szCs w:val="21"/>
          <w:highlight w:val="none"/>
        </w:rPr>
        <w:t>法人授权委托证明书；</w:t>
      </w:r>
    </w:p>
    <w:p w14:paraId="39ED49FB">
      <w:pPr>
        <w:pStyle w:val="67"/>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（3）</w:t>
      </w:r>
      <w:r>
        <w:rPr>
          <w:rFonts w:hint="eastAsia" w:ascii="宋体" w:hAnsi="宋体" w:cs="宋体"/>
          <w:b w:val="0"/>
          <w:bCs/>
          <w:color w:val="auto"/>
          <w:sz w:val="21"/>
          <w:szCs w:val="21"/>
          <w:highlight w:val="none"/>
        </w:rPr>
        <w:t xml:space="preserve">法定代表人身份证复印件； </w:t>
      </w:r>
    </w:p>
    <w:p w14:paraId="74178019">
      <w:pPr>
        <w:pStyle w:val="67"/>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（4）</w:t>
      </w:r>
      <w:r>
        <w:rPr>
          <w:rFonts w:hint="eastAsia" w:ascii="宋体" w:hAnsi="宋体" w:cs="宋体"/>
          <w:b w:val="0"/>
          <w:bCs/>
          <w:color w:val="auto"/>
          <w:sz w:val="21"/>
          <w:szCs w:val="21"/>
          <w:highlight w:val="none"/>
        </w:rPr>
        <w:t>被授权人身份证复印件；</w:t>
      </w:r>
    </w:p>
    <w:p w14:paraId="1A00FBFC">
      <w:pPr>
        <w:pStyle w:val="67"/>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val="en-US" w:eastAsia="zh-CN"/>
        </w:rPr>
        <w:t>（5）</w:t>
      </w:r>
      <w:r>
        <w:rPr>
          <w:rFonts w:hint="eastAsia" w:ascii="宋体" w:hAnsi="宋体" w:cs="宋体"/>
          <w:b w:val="0"/>
          <w:bCs/>
          <w:color w:val="auto"/>
          <w:sz w:val="21"/>
          <w:szCs w:val="21"/>
          <w:highlight w:val="none"/>
        </w:rPr>
        <w:t>《营业执照》复印件</w:t>
      </w:r>
      <w:r>
        <w:rPr>
          <w:rFonts w:hint="eastAsia" w:ascii="宋体" w:hAnsi="宋体" w:cs="宋体"/>
          <w:b w:val="0"/>
          <w:bCs/>
          <w:color w:val="auto"/>
          <w:sz w:val="21"/>
          <w:szCs w:val="21"/>
          <w:highlight w:val="none"/>
          <w:lang w:eastAsia="zh-CN"/>
        </w:rPr>
        <w:t>；</w:t>
      </w:r>
    </w:p>
    <w:p w14:paraId="0BBE0680">
      <w:pPr>
        <w:numPr>
          <w:ilvl w:val="-1"/>
          <w:numId w:val="0"/>
        </w:numPr>
        <w:spacing w:line="360" w:lineRule="auto"/>
        <w:ind w:firstLine="630" w:firstLineChars="300"/>
        <w:jc w:val="left"/>
        <w:rPr>
          <w:rFonts w:hint="default" w:ascii="宋体" w:hAnsi="宋体" w:eastAsia="宋体" w:cs="宋体"/>
          <w:color w:val="auto"/>
          <w:sz w:val="21"/>
          <w:szCs w:val="21"/>
          <w:highlight w:val="none"/>
          <w:lang w:val="en-US" w:eastAsia="zh-CN"/>
        </w:rPr>
      </w:pP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6</w:t>
      </w:r>
      <w:r>
        <w:rPr>
          <w:rFonts w:hint="eastAsia" w:ascii="宋体" w:hAnsi="宋体" w:cs="宋体"/>
          <w:b w:val="0"/>
          <w:bCs/>
          <w:color w:val="auto"/>
          <w:sz w:val="21"/>
          <w:szCs w:val="21"/>
          <w:highlight w:val="none"/>
          <w:lang w:eastAsia="zh-CN"/>
        </w:rPr>
        <w:t>）</w:t>
      </w:r>
      <w:r>
        <w:rPr>
          <w:rFonts w:hint="eastAsia" w:hAnsi="宋体" w:cs="Arial"/>
          <w:bCs/>
          <w:color w:val="auto"/>
          <w:sz w:val="21"/>
          <w:szCs w:val="21"/>
          <w:highlight w:val="none"/>
          <w:lang w:val="en-US" w:eastAsia="zh-CN"/>
        </w:rPr>
        <w:t>投标单位提供的</w:t>
      </w:r>
      <w:r>
        <w:rPr>
          <w:rFonts w:hint="eastAsia" w:hAnsi="宋体" w:cs="Arial"/>
          <w:bCs/>
          <w:color w:val="auto"/>
          <w:sz w:val="21"/>
          <w:szCs w:val="21"/>
          <w:highlight w:val="none"/>
        </w:rPr>
        <w:t>其他</w:t>
      </w:r>
      <w:r>
        <w:rPr>
          <w:rFonts w:hint="eastAsia" w:hAnsi="宋体" w:cs="Arial"/>
          <w:bCs/>
          <w:color w:val="auto"/>
          <w:sz w:val="21"/>
          <w:szCs w:val="21"/>
          <w:highlight w:val="none"/>
          <w:lang w:val="en-US" w:eastAsia="zh-CN"/>
        </w:rPr>
        <w:t>资料。</w:t>
      </w:r>
    </w:p>
    <w:p w14:paraId="0BBA6F1C">
      <w:pPr>
        <w:pStyle w:val="67"/>
        <w:numPr>
          <w:ilvl w:val="0"/>
          <w:numId w:val="0"/>
        </w:numPr>
        <w:tabs>
          <w:tab w:val="left" w:pos="851"/>
        </w:tabs>
        <w:spacing w:line="360" w:lineRule="auto"/>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val="en-US" w:eastAsia="zh-CN"/>
        </w:rPr>
        <w:t>1.1.</w:t>
      </w:r>
      <w:r>
        <w:rPr>
          <w:rFonts w:hint="eastAsia" w:ascii="宋体" w:hAnsi="宋体" w:cs="宋体"/>
          <w:b w:val="0"/>
          <w:bCs/>
          <w:color w:val="auto"/>
          <w:szCs w:val="21"/>
          <w:highlight w:val="none"/>
          <w:lang w:val="en-US" w:eastAsia="zh-CN"/>
        </w:rPr>
        <w:t>2</w:t>
      </w:r>
      <w:r>
        <w:rPr>
          <w:rFonts w:hint="eastAsia" w:ascii="宋体" w:hAnsi="宋体" w:eastAsia="宋体" w:cs="宋体"/>
          <w:b w:val="0"/>
          <w:bCs/>
          <w:color w:val="auto"/>
          <w:szCs w:val="21"/>
          <w:highlight w:val="none"/>
        </w:rPr>
        <w:t>商务标</w:t>
      </w:r>
    </w:p>
    <w:p w14:paraId="5A6EF3DC">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（1）承诺书</w:t>
      </w:r>
    </w:p>
    <w:p w14:paraId="0A0BD23B">
      <w:pPr>
        <w:spacing w:line="360" w:lineRule="auto"/>
        <w:ind w:firstLine="630" w:firstLineChars="300"/>
        <w:rPr>
          <w:rFonts w:hint="default" w:ascii="宋体" w:hAnsi="宋体" w:eastAsia="宋体" w:cs="宋体"/>
          <w:b w:val="0"/>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hAnsi="宋体" w:cs="宋体"/>
          <w:b w:val="0"/>
          <w:bCs/>
          <w:color w:val="auto"/>
          <w:sz w:val="21"/>
          <w:szCs w:val="21"/>
          <w:highlight w:val="none"/>
          <w:lang w:val="en-US" w:eastAsia="zh-CN"/>
        </w:rPr>
        <w:t>法定代表人身份证明书</w:t>
      </w:r>
    </w:p>
    <w:p w14:paraId="1A9F94A9">
      <w:pPr>
        <w:spacing w:line="360" w:lineRule="auto"/>
        <w:ind w:firstLine="630" w:firstLineChars="300"/>
        <w:rPr>
          <w:rFonts w:hint="eastAsia" w:hAnsi="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r>
        <w:rPr>
          <w:rFonts w:hint="eastAsia" w:hAnsi="宋体" w:cs="宋体"/>
          <w:b w:val="0"/>
          <w:bCs/>
          <w:color w:val="auto"/>
          <w:sz w:val="21"/>
          <w:szCs w:val="21"/>
          <w:highlight w:val="none"/>
          <w:lang w:val="en-US" w:eastAsia="zh-CN"/>
        </w:rPr>
        <w:t>法定代表人授权委托书</w:t>
      </w:r>
    </w:p>
    <w:p w14:paraId="6D11D9C4">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（4）投标清单</w:t>
      </w:r>
    </w:p>
    <w:p w14:paraId="185C8B64">
      <w:pPr>
        <w:pStyle w:val="67"/>
        <w:numPr>
          <w:ilvl w:val="0"/>
          <w:numId w:val="0"/>
        </w:numPr>
        <w:tabs>
          <w:tab w:val="left" w:pos="851"/>
        </w:tabs>
        <w:spacing w:line="360" w:lineRule="auto"/>
        <w:ind w:leftChars="0"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val="en-US" w:eastAsia="zh-CN"/>
        </w:rPr>
        <w:t>1.1.</w:t>
      </w:r>
      <w:r>
        <w:rPr>
          <w:rFonts w:hint="eastAsia" w:ascii="宋体" w:hAnsi="宋体" w:cs="宋体"/>
          <w:b w:val="0"/>
          <w:bCs/>
          <w:color w:val="auto"/>
          <w:szCs w:val="21"/>
          <w:highlight w:val="none"/>
          <w:lang w:val="en-US" w:eastAsia="zh-CN"/>
        </w:rPr>
        <w:t>3</w:t>
      </w:r>
      <w:r>
        <w:rPr>
          <w:rFonts w:hint="eastAsia" w:ascii="宋体" w:hAnsi="宋体" w:eastAsia="宋体" w:cs="宋体"/>
          <w:b w:val="0"/>
          <w:bCs/>
          <w:color w:val="auto"/>
          <w:szCs w:val="21"/>
          <w:highlight w:val="none"/>
          <w:lang w:val="en-US" w:eastAsia="zh-CN"/>
        </w:rPr>
        <w:t>技术</w:t>
      </w:r>
      <w:r>
        <w:rPr>
          <w:rFonts w:hint="eastAsia" w:ascii="宋体" w:hAnsi="宋体" w:eastAsia="宋体" w:cs="宋体"/>
          <w:b w:val="0"/>
          <w:bCs/>
          <w:color w:val="auto"/>
          <w:szCs w:val="21"/>
          <w:highlight w:val="none"/>
        </w:rPr>
        <w:t>标</w:t>
      </w:r>
    </w:p>
    <w:p w14:paraId="586984AB">
      <w:pPr>
        <w:spacing w:line="360" w:lineRule="auto"/>
        <w:ind w:firstLine="630" w:firstLineChars="300"/>
        <w:rPr>
          <w:rFonts w:hint="eastAsia" w:ascii="宋体" w:hAnsi="宋体" w:eastAsia="宋体" w:cs="宋体"/>
          <w:bCs/>
          <w:color w:val="auto"/>
          <w:sz w:val="21"/>
          <w:szCs w:val="21"/>
          <w:highlight w:val="none"/>
          <w:lang w:val="en-CA"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val="en-CA" w:eastAsia="zh-CN"/>
        </w:rPr>
        <w:t>服务范围：对指定区域内的所有室内空间（包括但不限于</w:t>
      </w:r>
      <w:r>
        <w:rPr>
          <w:rFonts w:hint="eastAsia" w:ascii="宋体" w:hAnsi="宋体" w:eastAsia="宋体" w:cs="宋体"/>
          <w:bCs/>
          <w:color w:val="auto"/>
          <w:sz w:val="21"/>
          <w:szCs w:val="21"/>
          <w:highlight w:val="none"/>
          <w:lang w:val="en-US" w:eastAsia="zh-CN"/>
        </w:rPr>
        <w:t>开放</w:t>
      </w:r>
      <w:r>
        <w:rPr>
          <w:rFonts w:hint="eastAsia" w:ascii="宋体" w:hAnsi="宋体" w:eastAsia="宋体" w:cs="宋体"/>
          <w:bCs/>
          <w:color w:val="auto"/>
          <w:sz w:val="21"/>
          <w:szCs w:val="21"/>
          <w:highlight w:val="none"/>
          <w:lang w:val="en-CA" w:eastAsia="zh-CN"/>
        </w:rPr>
        <w:t>办公区、会议室、</w:t>
      </w:r>
      <w:r>
        <w:rPr>
          <w:rFonts w:hint="eastAsia" w:ascii="宋体" w:hAnsi="宋体" w:eastAsia="宋体" w:cs="宋体"/>
          <w:bCs/>
          <w:color w:val="auto"/>
          <w:sz w:val="21"/>
          <w:szCs w:val="21"/>
          <w:highlight w:val="none"/>
          <w:lang w:val="en-US" w:eastAsia="zh-CN"/>
        </w:rPr>
        <w:t>独立办公</w:t>
      </w:r>
      <w:r>
        <w:rPr>
          <w:rFonts w:hint="eastAsia" w:ascii="宋体" w:hAnsi="宋体" w:eastAsia="宋体" w:cs="宋体"/>
          <w:bCs/>
          <w:color w:val="auto"/>
          <w:sz w:val="21"/>
          <w:szCs w:val="21"/>
          <w:highlight w:val="none"/>
          <w:lang w:val="en-CA" w:eastAsia="zh-CN"/>
        </w:rPr>
        <w:t>室、茶水</w:t>
      </w:r>
      <w:r>
        <w:rPr>
          <w:rFonts w:hint="eastAsia" w:ascii="宋体" w:hAnsi="宋体" w:eastAsia="宋体" w:cs="宋体"/>
          <w:bCs/>
          <w:color w:val="auto"/>
          <w:sz w:val="21"/>
          <w:szCs w:val="21"/>
          <w:highlight w:val="none"/>
          <w:lang w:val="en-US" w:eastAsia="zh-CN"/>
        </w:rPr>
        <w:t>室</w:t>
      </w:r>
      <w:r>
        <w:rPr>
          <w:rFonts w:hint="eastAsia" w:ascii="宋体" w:hAnsi="宋体" w:eastAsia="宋体" w:cs="宋体"/>
          <w:bCs/>
          <w:color w:val="auto"/>
          <w:sz w:val="21"/>
          <w:szCs w:val="21"/>
          <w:highlight w:val="none"/>
          <w:lang w:val="en-CA" w:eastAsia="zh-CN"/>
        </w:rPr>
        <w:t>、走廊、</w:t>
      </w:r>
      <w:r>
        <w:rPr>
          <w:rFonts w:hint="eastAsia" w:ascii="宋体" w:hAnsi="宋体" w:eastAsia="宋体" w:cs="宋体"/>
          <w:bCs/>
          <w:color w:val="auto"/>
          <w:sz w:val="21"/>
          <w:szCs w:val="21"/>
          <w:highlight w:val="none"/>
          <w:lang w:val="en-US" w:eastAsia="zh-CN"/>
        </w:rPr>
        <w:t>卫生间</w:t>
      </w:r>
      <w:r>
        <w:rPr>
          <w:rFonts w:hint="eastAsia" w:ascii="宋体" w:hAnsi="宋体" w:eastAsia="宋体" w:cs="宋体"/>
          <w:bCs/>
          <w:color w:val="auto"/>
          <w:sz w:val="21"/>
          <w:szCs w:val="21"/>
          <w:highlight w:val="none"/>
          <w:lang w:val="en-CA" w:eastAsia="zh-CN"/>
        </w:rPr>
        <w:t>等）进行甲醛及其他主要空气污染物的治理；治理对象包括但不限于人造板家具（桌椅、柜子）、墙面（乳胶漆、壁纸、</w:t>
      </w:r>
      <w:r>
        <w:rPr>
          <w:rFonts w:hint="eastAsia" w:ascii="宋体" w:hAnsi="宋体" w:eastAsia="宋体" w:cs="宋体"/>
          <w:bCs/>
          <w:color w:val="auto"/>
          <w:sz w:val="21"/>
          <w:szCs w:val="21"/>
          <w:highlight w:val="none"/>
          <w:lang w:val="en-US" w:eastAsia="zh-CN"/>
        </w:rPr>
        <w:t>吊顶</w:t>
      </w:r>
      <w:r>
        <w:rPr>
          <w:rFonts w:hint="eastAsia" w:ascii="宋体" w:hAnsi="宋体" w:eastAsia="宋体" w:cs="宋体"/>
          <w:bCs/>
          <w:color w:val="auto"/>
          <w:sz w:val="21"/>
          <w:szCs w:val="21"/>
          <w:highlight w:val="none"/>
          <w:lang w:val="en-CA" w:eastAsia="zh-CN"/>
        </w:rPr>
        <w:t>）、地面（地毯、木地板）、布艺软装（窗帘）等所有可能释放甲醛的装修装饰材料。</w:t>
      </w:r>
    </w:p>
    <w:p w14:paraId="6D83B516">
      <w:pPr>
        <w:spacing w:line="360" w:lineRule="auto"/>
        <w:ind w:firstLine="630" w:firstLineChars="300"/>
        <w:rPr>
          <w:rFonts w:hint="eastAsia" w:ascii="宋体" w:hAnsi="宋体" w:eastAsia="宋体" w:cs="宋体"/>
          <w:bCs/>
          <w:color w:val="auto"/>
          <w:sz w:val="21"/>
          <w:szCs w:val="21"/>
          <w:highlight w:val="none"/>
          <w:lang w:val="en-CA" w:eastAsia="zh-CN"/>
        </w:rPr>
      </w:pPr>
      <w:r>
        <w:rPr>
          <w:rFonts w:hint="eastAsia" w:ascii="宋体" w:hAnsi="宋体" w:eastAsia="宋体" w:cs="宋体"/>
          <w:bCs/>
          <w:color w:val="auto"/>
          <w:sz w:val="21"/>
          <w:szCs w:val="21"/>
          <w:highlight w:val="none"/>
          <w:lang w:val="en-CA" w:eastAsia="zh-CN"/>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CA" w:eastAsia="zh-CN"/>
        </w:rPr>
        <w:t>）治理目标：</w:t>
      </w:r>
      <w:r>
        <w:rPr>
          <w:rFonts w:hint="eastAsia" w:ascii="宋体" w:hAnsi="宋体" w:eastAsia="宋体" w:cs="宋体"/>
          <w:bCs/>
          <w:color w:val="auto"/>
          <w:sz w:val="21"/>
          <w:szCs w:val="21"/>
          <w:highlight w:val="none"/>
          <w:lang w:val="en-US" w:eastAsia="zh-CN"/>
        </w:rPr>
        <w:t>治理前多点自测留下测前数据，</w:t>
      </w:r>
      <w:r>
        <w:rPr>
          <w:rFonts w:hint="eastAsia" w:ascii="宋体" w:hAnsi="宋体" w:eastAsia="宋体" w:cs="宋体"/>
          <w:bCs/>
          <w:color w:val="auto"/>
          <w:sz w:val="21"/>
          <w:szCs w:val="21"/>
          <w:highlight w:val="none"/>
          <w:lang w:val="en-CA" w:eastAsia="zh-CN"/>
        </w:rPr>
        <w:t>治理完工后 7 天（或约定时间），</w:t>
      </w:r>
      <w:r>
        <w:rPr>
          <w:rFonts w:hint="eastAsia" w:ascii="宋体" w:hAnsi="宋体" w:eastAsia="宋体" w:cs="宋体"/>
          <w:bCs/>
          <w:color w:val="auto"/>
          <w:sz w:val="21"/>
          <w:szCs w:val="21"/>
          <w:highlight w:val="none"/>
          <w:lang w:val="en-US" w:eastAsia="zh-CN"/>
        </w:rPr>
        <w:t>还需</w:t>
      </w:r>
      <w:r>
        <w:rPr>
          <w:rFonts w:hint="eastAsia" w:ascii="宋体" w:hAnsi="宋体" w:eastAsia="宋体" w:cs="宋体"/>
          <w:bCs/>
          <w:color w:val="auto"/>
          <w:sz w:val="21"/>
          <w:szCs w:val="21"/>
          <w:highlight w:val="none"/>
          <w:lang w:val="en-CA" w:eastAsia="zh-CN"/>
        </w:rPr>
        <w:t>委托第三方权威检测机构进行</w:t>
      </w:r>
      <w:r>
        <w:rPr>
          <w:rFonts w:hint="eastAsia" w:ascii="宋体" w:hAnsi="宋体" w:eastAsia="宋体" w:cs="宋体"/>
          <w:bCs/>
          <w:color w:val="auto"/>
          <w:sz w:val="21"/>
          <w:szCs w:val="21"/>
          <w:highlight w:val="none"/>
          <w:lang w:val="en-US" w:eastAsia="zh-CN"/>
        </w:rPr>
        <w:t>多点</w:t>
      </w:r>
      <w:r>
        <w:rPr>
          <w:rFonts w:hint="eastAsia" w:ascii="宋体" w:hAnsi="宋体" w:eastAsia="宋体" w:cs="宋体"/>
          <w:bCs/>
          <w:color w:val="auto"/>
          <w:sz w:val="21"/>
          <w:szCs w:val="21"/>
          <w:highlight w:val="none"/>
          <w:lang w:val="en-CA" w:eastAsia="zh-CN"/>
        </w:rPr>
        <w:t>验收检测</w:t>
      </w:r>
      <w:r>
        <w:rPr>
          <w:rFonts w:hint="eastAsia" w:hAnsi="宋体" w:cs="宋体"/>
          <w:bCs/>
          <w:color w:val="auto"/>
          <w:sz w:val="21"/>
          <w:szCs w:val="21"/>
          <w:highlight w:val="none"/>
          <w:lang w:val="en-CA" w:eastAsia="zh-CN"/>
        </w:rPr>
        <w:t>；</w:t>
      </w:r>
      <w:r>
        <w:rPr>
          <w:rFonts w:hint="eastAsia" w:ascii="宋体" w:hAnsi="宋体" w:eastAsia="宋体" w:cs="宋体"/>
          <w:bCs/>
          <w:color w:val="auto"/>
          <w:sz w:val="21"/>
          <w:szCs w:val="21"/>
          <w:highlight w:val="none"/>
          <w:lang w:val="en-CA" w:eastAsia="zh-CN"/>
        </w:rPr>
        <w:t>验收标准： 检测结果需符合 《室内空气质量标准》（GB/T 18883-2022） 中规定的限量值。</w:t>
      </w:r>
    </w:p>
    <w:p w14:paraId="2F4126EF">
      <w:pPr>
        <w:spacing w:line="360" w:lineRule="auto"/>
        <w:ind w:firstLine="630" w:firstLineChars="300"/>
        <w:rPr>
          <w:rFonts w:hint="eastAsia" w:ascii="宋体" w:hAnsi="宋体" w:eastAsia="宋体" w:cs="宋体"/>
          <w:bCs/>
          <w:color w:val="auto"/>
          <w:sz w:val="21"/>
          <w:szCs w:val="21"/>
          <w:highlight w:val="none"/>
          <w:lang w:val="en-CA"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CA" w:eastAsia="zh-CN"/>
        </w:rPr>
        <w:t>售后服务承诺及技术支持，售后人员结构、售后服务条款；（</w:t>
      </w:r>
      <w:r>
        <w:rPr>
          <w:rFonts w:hint="eastAsia" w:ascii="宋体" w:hAnsi="宋体" w:eastAsia="宋体" w:cs="宋体"/>
          <w:bCs/>
          <w:color w:val="auto"/>
          <w:sz w:val="21"/>
          <w:szCs w:val="21"/>
          <w:highlight w:val="none"/>
          <w:lang w:val="en-US" w:eastAsia="zh-CN"/>
        </w:rPr>
        <w:t>将作为项目验收的重要依据，同时也是合同的组成部分）</w:t>
      </w:r>
    </w:p>
    <w:p w14:paraId="393A7547">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lang w:val="en-CA" w:eastAsia="zh-CN"/>
        </w:rPr>
        <w:t>其他服务承诺条款；</w:t>
      </w:r>
    </w:p>
    <w:p w14:paraId="5EF49A7A">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投标人应依据招标文件、国家现行规范和标准以及投标人对工程场地和周围环境的踏勘情况，编制本招标工程的施工组织设计；</w:t>
      </w:r>
    </w:p>
    <w:p w14:paraId="0BE8BF82">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如果招标人在本招标文件中提供了投标文件的相关格式，则投标人编制投标文件时应使用招标人提供的格式（如属表格，可以按同样格式扩展）； </w:t>
      </w:r>
    </w:p>
    <w:p w14:paraId="448D4E08">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均应打印或使用不褪色的墨水书写。全套投标文件应无涂改、行间插字或删除，除非上述删改是根据招标人发出的招标文件修改补充文件的指示进行的，或者是投标人造成的必须修改的错误，投标文件修改处须由投标文件签署人签字或盖章；</w:t>
      </w:r>
    </w:p>
    <w:p w14:paraId="11B7184B">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投标人应在投标文件所有文件资料内容之前编制可方便检索的总目录或索引；</w:t>
      </w:r>
    </w:p>
    <w:p w14:paraId="253A5EF6">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投标人应同时提交一套电子版投标文件，电子版本投标文件应以</w:t>
      </w:r>
      <w:r>
        <w:rPr>
          <w:rFonts w:hint="eastAsia" w:ascii="宋体" w:hAnsi="宋体" w:eastAsia="宋体" w:cs="宋体"/>
          <w:color w:val="auto"/>
          <w:sz w:val="21"/>
          <w:szCs w:val="21"/>
          <w:highlight w:val="none"/>
          <w:lang w:val="en-US" w:eastAsia="zh-CN"/>
        </w:rPr>
        <w:t>U</w:t>
      </w:r>
      <w:r>
        <w:rPr>
          <w:rFonts w:hint="eastAsia" w:ascii="宋体" w:hAnsi="宋体" w:eastAsia="宋体" w:cs="宋体"/>
          <w:color w:val="auto"/>
          <w:sz w:val="21"/>
          <w:szCs w:val="21"/>
          <w:highlight w:val="none"/>
        </w:rPr>
        <w:t>盘的形式提交，其中清单需提交EXCEL版；</w:t>
      </w:r>
    </w:p>
    <w:p w14:paraId="317D96FD">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应对招标文件提出的实质性要求和条件做出响应，不得对招标文件中规定的要求和条件做出对招标人不利的任何变动，但投标人为了提高其投标竞争性，可选择做出对招标人而言，比本招标文件中规定的要求和条件更加优惠或更加有利的承诺。如果该投标人最终被授予合同，则其做出的并被招标人所接受的更加优惠或更加有利的承诺，将成为具有合同约束力的承诺并将被纳入招标人与中标人签订的合同中。</w:t>
      </w:r>
    </w:p>
    <w:p w14:paraId="54D2DD44">
      <w:pPr>
        <w:pStyle w:val="29"/>
        <w:numPr>
          <w:ilvl w:val="0"/>
          <w:numId w:val="0"/>
        </w:numPr>
        <w:tabs>
          <w:tab w:val="left" w:pos="851"/>
        </w:tabs>
        <w:ind w:leftChars="0"/>
        <w:rPr>
          <w:rFonts w:hint="eastAsia" w:ascii="宋体" w:hAnsi="宋体" w:eastAsia="宋体" w:cs="宋体"/>
          <w:color w:val="auto"/>
          <w:highlight w:val="none"/>
        </w:rPr>
      </w:pPr>
      <w:bookmarkStart w:id="129" w:name="_Toc362441709"/>
      <w:bookmarkStart w:id="130" w:name="_Toc162409991"/>
      <w:bookmarkStart w:id="131" w:name="_Toc481596028"/>
      <w:bookmarkStart w:id="132" w:name="_Toc162409851"/>
      <w:bookmarkStart w:id="133" w:name="_Toc216695522"/>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投标文件装订与密封</w:t>
      </w:r>
      <w:bookmarkEnd w:id="129"/>
      <w:bookmarkEnd w:id="130"/>
      <w:bookmarkEnd w:id="131"/>
      <w:bookmarkEnd w:id="132"/>
      <w:bookmarkEnd w:id="133"/>
    </w:p>
    <w:p w14:paraId="170EC66A">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投标人应将编制的投标文件按照</w:t>
      </w:r>
      <w:r>
        <w:rPr>
          <w:rFonts w:hint="eastAsia" w:ascii="宋体" w:hAnsi="宋体" w:eastAsia="宋体" w:cs="宋体"/>
          <w:color w:val="auto"/>
          <w:sz w:val="21"/>
          <w:szCs w:val="21"/>
          <w:highlight w:val="none"/>
          <w:lang w:val="en-US" w:eastAsia="zh-CN"/>
        </w:rPr>
        <w:t>投标须知前附表“</w:t>
      </w:r>
      <w:r>
        <w:rPr>
          <w:rFonts w:hint="eastAsia" w:ascii="宋体" w:hAnsi="宋体" w:eastAsia="宋体" w:cs="宋体"/>
          <w:color w:val="auto"/>
          <w:sz w:val="21"/>
          <w:szCs w:val="21"/>
          <w:highlight w:val="none"/>
        </w:rPr>
        <w:t>投标文件份数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要求进行</w:t>
      </w:r>
      <w:r>
        <w:rPr>
          <w:rFonts w:hint="eastAsia" w:ascii="宋体" w:hAnsi="宋体" w:eastAsia="宋体" w:cs="宋体"/>
          <w:color w:val="auto"/>
          <w:sz w:val="21"/>
          <w:szCs w:val="21"/>
          <w:highlight w:val="none"/>
        </w:rPr>
        <w:t>密封。如果资信标、商务标的内容过多，可以分册装订。投标人应对所有投标文件采用左侧书本式方式装订，装订应牢固、不易拆散和换页，不得采用活页方式装订。</w:t>
      </w:r>
    </w:p>
    <w:p w14:paraId="4A5D20C9">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投标人为增加其投标竞争性而编制的必要的其它资料，应根据投标文件的编制要求和原则，分别装订在相应部分中。</w:t>
      </w:r>
    </w:p>
    <w:p w14:paraId="2B362A3A">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投标文件封面均应加盖投标人公章（骑缝处应加盖骑缝章），并由法定代表人或其委托代理人签字或盖章；招标文件给定的投标文件格式中明确要求签字或盖章处，均应按要求签字或盖章；商务标回标文件每页均须加盖公章。</w:t>
      </w:r>
    </w:p>
    <w:p w14:paraId="3C0E67C3">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电子版本投标文件分别刻盘，与相应的纸质文件一起密封。投标人应将所有投标文件密封后提交。如果投标文件体积或重量较大，可以使用多个密封袋（箱）进行密封。</w:t>
      </w:r>
    </w:p>
    <w:p w14:paraId="7AA554DC">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投标人应对所有投标文件的密封袋（箱）采用密封条（由投标人自行制作）进行密封。密封条上骑缝处加盖投标人公章和法定代表人或其委托代理人名章。</w:t>
      </w:r>
    </w:p>
    <w:p w14:paraId="628A3EB1">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除按照上述要求对投标文件密封外，在所有投标文件密封袋正面或密封箱上应标识本招标工程的工程名称和投标人名称。</w:t>
      </w:r>
    </w:p>
    <w:p w14:paraId="58F8D716">
      <w:pPr>
        <w:pStyle w:val="29"/>
        <w:numPr>
          <w:ilvl w:val="0"/>
          <w:numId w:val="0"/>
        </w:numPr>
        <w:tabs>
          <w:tab w:val="left" w:pos="851"/>
        </w:tabs>
        <w:ind w:leftChars="-405" w:firstLine="964" w:firstLineChars="400"/>
        <w:rPr>
          <w:rFonts w:hint="eastAsia" w:ascii="宋体" w:hAnsi="宋体" w:eastAsia="宋体" w:cs="宋体"/>
          <w:color w:val="auto"/>
          <w:highlight w:val="none"/>
        </w:rPr>
      </w:pPr>
      <w:bookmarkStart w:id="134" w:name="_Toc162409853"/>
      <w:bookmarkStart w:id="135" w:name="_Toc162409993"/>
      <w:bookmarkStart w:id="136" w:name="_Toc216695524"/>
      <w:bookmarkStart w:id="137" w:name="_Toc362441710"/>
      <w:bookmarkStart w:id="138" w:name="_Toc481596029"/>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投标文件提交</w:t>
      </w:r>
      <w:bookmarkEnd w:id="134"/>
      <w:bookmarkEnd w:id="135"/>
      <w:bookmarkEnd w:id="136"/>
      <w:bookmarkEnd w:id="137"/>
      <w:bookmarkEnd w:id="138"/>
    </w:p>
    <w:p w14:paraId="6E0F7821">
      <w:pPr>
        <w:numPr>
          <w:ilvl w:val="1"/>
          <w:numId w:val="1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如招标人延长了提交投标文件的截止时间，则本招标工程提交投标文件截止时间以新的时间为准。</w:t>
      </w:r>
    </w:p>
    <w:p w14:paraId="761EF2B7">
      <w:pPr>
        <w:numPr>
          <w:ilvl w:val="1"/>
          <w:numId w:val="1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招标人可以拒绝接收本须知规定的提交投标文件截止时间后送达的，或未送达到指定地点的投标文件，被拒绝的投标文件将原封退回投标人。</w:t>
      </w:r>
    </w:p>
    <w:p w14:paraId="2D59C024">
      <w:pPr>
        <w:pStyle w:val="29"/>
        <w:numPr>
          <w:ilvl w:val="0"/>
          <w:numId w:val="0"/>
        </w:numPr>
        <w:tabs>
          <w:tab w:val="left" w:pos="851"/>
        </w:tabs>
        <w:ind w:leftChars="0"/>
        <w:rPr>
          <w:rFonts w:hint="eastAsia" w:ascii="宋体" w:hAnsi="宋体" w:eastAsia="宋体" w:cs="宋体"/>
          <w:color w:val="auto"/>
          <w:highlight w:val="none"/>
        </w:rPr>
      </w:pPr>
      <w:bookmarkStart w:id="139" w:name="_Toc362441711"/>
      <w:bookmarkStart w:id="140" w:name="_Toc216695525"/>
      <w:bookmarkStart w:id="141" w:name="_Toc481596030"/>
      <w:bookmarkStart w:id="142" w:name="_Toc162409994"/>
      <w:bookmarkStart w:id="143" w:name="_Toc162409854"/>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投标文件修改补充与撤回</w:t>
      </w:r>
      <w:bookmarkEnd w:id="139"/>
      <w:bookmarkEnd w:id="140"/>
      <w:bookmarkEnd w:id="141"/>
      <w:bookmarkEnd w:id="142"/>
      <w:bookmarkEnd w:id="143"/>
    </w:p>
    <w:p w14:paraId="2957F6BC">
      <w:pPr>
        <w:numPr>
          <w:ilvl w:val="0"/>
          <w:numId w:val="0"/>
        </w:numPr>
        <w:tabs>
          <w:tab w:val="left" w:pos="851"/>
        </w:tabs>
        <w:spacing w:line="360" w:lineRule="auto"/>
        <w:ind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4.1</w:t>
      </w:r>
      <w:r>
        <w:rPr>
          <w:rFonts w:hint="eastAsia" w:ascii="宋体" w:hAnsi="宋体" w:eastAsia="宋体" w:cs="宋体"/>
          <w:color w:val="auto"/>
          <w:sz w:val="21"/>
          <w:szCs w:val="21"/>
          <w:highlight w:val="none"/>
        </w:rPr>
        <w:t>投标人在提交投标文件后，在规定的提交投标文件截止时间前，可以电子邮件形式修改、补充或撤回已提交的投标文件，并书面通知招标人。书面通知必须在规定的提交投标文件截止时间前送达招标人，并得到招标人的确认。修改、补充的内容为投标文件的组成部分。在规定的提交投标文件截止时间后送达的修改或者补充的内容无效。</w:t>
      </w:r>
    </w:p>
    <w:p w14:paraId="15516B73">
      <w:pPr>
        <w:numPr>
          <w:ilvl w:val="1"/>
          <w:numId w:val="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lang w:val="en-US" w:eastAsia="zh-CN" w:bidi="ar-SA"/>
        </w:rPr>
        <w:t>4.2</w:t>
      </w:r>
      <w:r>
        <w:rPr>
          <w:rFonts w:hint="eastAsia" w:ascii="宋体" w:hAnsi="宋体" w:eastAsia="宋体" w:cs="宋体"/>
          <w:color w:val="auto"/>
          <w:sz w:val="21"/>
          <w:szCs w:val="21"/>
          <w:highlight w:val="none"/>
        </w:rPr>
        <w:t>投标人应按照本须知的相关规定对投标文件的修改补充内容予以编制、装订与签署、密封与标志，并在密封袋（箱）上标明“修改”、“补充”或“撤回”字样。</w:t>
      </w:r>
    </w:p>
    <w:p w14:paraId="0B9C89B8">
      <w:pPr>
        <w:numPr>
          <w:ilvl w:val="1"/>
          <w:numId w:val="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lang w:val="en-US" w:eastAsia="zh-CN" w:bidi="ar-SA"/>
        </w:rPr>
        <w:t>4.3</w:t>
      </w:r>
      <w:r>
        <w:rPr>
          <w:rFonts w:hint="eastAsia" w:ascii="宋体" w:hAnsi="宋体" w:eastAsia="宋体" w:cs="宋体"/>
          <w:color w:val="auto"/>
          <w:sz w:val="21"/>
          <w:szCs w:val="21"/>
          <w:highlight w:val="none"/>
        </w:rPr>
        <w:t>在规定的提交投标文件截止时间后至投标有效期终止之前，投标人不得修改补充或撤回其投标文件。</w:t>
      </w:r>
    </w:p>
    <w:p w14:paraId="1BC23E07">
      <w:pPr>
        <w:pStyle w:val="29"/>
        <w:numPr>
          <w:ilvl w:val="0"/>
          <w:numId w:val="0"/>
        </w:numPr>
        <w:tabs>
          <w:tab w:val="left" w:pos="851"/>
        </w:tabs>
        <w:ind w:leftChars="0"/>
        <w:rPr>
          <w:rFonts w:hint="eastAsia" w:ascii="宋体" w:hAnsi="宋体" w:eastAsia="宋体" w:cs="宋体"/>
          <w:color w:val="auto"/>
          <w:highlight w:val="none"/>
        </w:rPr>
      </w:pPr>
      <w:bookmarkStart w:id="144" w:name="_Toc162409995"/>
      <w:bookmarkStart w:id="145" w:name="_Toc216695526"/>
      <w:bookmarkStart w:id="146" w:name="_Toc162409855"/>
      <w:bookmarkStart w:id="147" w:name="_Toc362441712"/>
      <w:bookmarkStart w:id="148" w:name="_Toc481596031"/>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投标有效期</w:t>
      </w:r>
      <w:bookmarkEnd w:id="144"/>
      <w:bookmarkEnd w:id="145"/>
      <w:bookmarkEnd w:id="146"/>
      <w:bookmarkEnd w:id="147"/>
      <w:bookmarkEnd w:id="148"/>
    </w:p>
    <w:p w14:paraId="053EFC15">
      <w:pPr>
        <w:numPr>
          <w:ilvl w:val="0"/>
          <w:numId w:val="0"/>
        </w:numPr>
        <w:tabs>
          <w:tab w:val="left" w:pos="851"/>
        </w:tabs>
        <w:spacing w:line="360" w:lineRule="auto"/>
        <w:ind w:left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5.1</w:t>
      </w: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 xml:space="preserve">0 </w:t>
      </w:r>
      <w:r>
        <w:rPr>
          <w:rFonts w:hint="eastAsia" w:ascii="宋体" w:hAnsi="宋体" w:eastAsia="宋体" w:cs="宋体"/>
          <w:color w:val="auto"/>
          <w:sz w:val="21"/>
          <w:szCs w:val="21"/>
          <w:highlight w:val="none"/>
        </w:rPr>
        <w:t>天,自提交投标文件截止之日起计算，在此期限内投标人的投标保持有效。</w:t>
      </w:r>
    </w:p>
    <w:p w14:paraId="5822E7DC">
      <w:pPr>
        <w:numPr>
          <w:ilvl w:val="0"/>
          <w:numId w:val="0"/>
        </w:numPr>
        <w:tabs>
          <w:tab w:val="left" w:pos="851"/>
        </w:tabs>
        <w:spacing w:line="360" w:lineRule="auto"/>
        <w:ind w:left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5.2</w:t>
      </w:r>
      <w:r>
        <w:rPr>
          <w:rFonts w:hint="eastAsia" w:ascii="宋体" w:hAnsi="宋体" w:eastAsia="宋体" w:cs="宋体"/>
          <w:color w:val="auto"/>
          <w:sz w:val="21"/>
          <w:szCs w:val="21"/>
          <w:highlight w:val="none"/>
        </w:rPr>
        <w:t>在原投标有效期结束前，出现特殊情况的，招标人将要求所有投标人延长投标有效期，关于要求和相关答复均以电子邮件形式进行。投标人同意延长的，投标人不得要求或被允许修改其投标文件的实质性内容，但应当相应延长其投标保证担保的有效期；投标人拒绝延长的，其投标失效，但投标人有权收回其投标保证担保。</w:t>
      </w:r>
    </w:p>
    <w:p w14:paraId="102AA255">
      <w:pPr>
        <w:pStyle w:val="2"/>
        <w:spacing w:before="360" w:beforeLines="150" w:after="360" w:afterLines="150" w:line="360" w:lineRule="auto"/>
        <w:jc w:val="center"/>
        <w:rPr>
          <w:rFonts w:hint="eastAsia" w:ascii="宋体" w:hAnsi="宋体" w:eastAsia="宋体" w:cs="宋体"/>
          <w:color w:val="auto"/>
          <w:highlight w:val="none"/>
        </w:rPr>
      </w:pPr>
      <w:bookmarkStart w:id="149" w:name="_Toc486604844"/>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四</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投标文件评审</w:t>
      </w:r>
      <w:bookmarkEnd w:id="149"/>
    </w:p>
    <w:p w14:paraId="56746ACD">
      <w:pPr>
        <w:pStyle w:val="29"/>
        <w:numPr>
          <w:ilvl w:val="0"/>
          <w:numId w:val="0"/>
        </w:numPr>
        <w:tabs>
          <w:tab w:val="left" w:pos="851"/>
        </w:tabs>
        <w:ind w:leftChars="0"/>
        <w:rPr>
          <w:rFonts w:hint="eastAsia" w:ascii="宋体" w:hAnsi="宋体" w:eastAsia="宋体" w:cs="宋体"/>
          <w:color w:val="auto"/>
          <w:highlight w:val="none"/>
        </w:rPr>
      </w:pPr>
      <w:bookmarkStart w:id="150" w:name="_Toc481596032"/>
      <w:bookmarkStart w:id="151" w:name="_Toc362441713"/>
      <w:bookmarkStart w:id="152" w:name="_Toc162409858"/>
      <w:bookmarkStart w:id="153" w:name="_Toc216695527"/>
      <w:bookmarkStart w:id="154" w:name="_Toc162409998"/>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废标条件</w:t>
      </w:r>
      <w:bookmarkEnd w:id="150"/>
      <w:bookmarkEnd w:id="151"/>
    </w:p>
    <w:p w14:paraId="44485D9F">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投标书有下列情况之一者视为废标（包括但不限于下列情况）,对被认定无效标书的，招标方无须对投标人进行解释：</w:t>
      </w:r>
    </w:p>
    <w:p w14:paraId="618B0510">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未按招标文件规定予以包装、密封、盖章的；</w:t>
      </w:r>
    </w:p>
    <w:p w14:paraId="3C8B86EC">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投标文件内容不全或未按规定填写或字迹模糊、辨认不清或涂改未加盖公章确认的；</w:t>
      </w:r>
    </w:p>
    <w:p w14:paraId="4980919A">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“投标函”和“报价表”未经企业法定代表人或其委托代理人签字或未加盖公司公章；</w:t>
      </w:r>
    </w:p>
    <w:p w14:paraId="6F716892">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委托代理人没有合法、有效授权委托书的；</w:t>
      </w:r>
    </w:p>
    <w:p w14:paraId="1680CE16">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投标文件对招标文件实质性要求没有响应的；</w:t>
      </w:r>
    </w:p>
    <w:p w14:paraId="2195CE46">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超过截标时间投标的；</w:t>
      </w:r>
    </w:p>
    <w:p w14:paraId="43C1D41D">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技术标评审不合格的；</w:t>
      </w:r>
    </w:p>
    <w:p w14:paraId="05A65E0F">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不按照招标方提供的《</w:t>
      </w:r>
      <w:r>
        <w:rPr>
          <w:rFonts w:hint="eastAsia" w:ascii="宋体" w:hAnsi="宋体" w:eastAsia="宋体" w:cs="宋体"/>
          <w:bCs/>
          <w:color w:val="auto"/>
          <w:szCs w:val="21"/>
          <w:highlight w:val="none"/>
          <w:lang w:val="en-US" w:eastAsia="zh-CN"/>
        </w:rPr>
        <w:t>招标清单</w:t>
      </w:r>
      <w:r>
        <w:rPr>
          <w:rFonts w:hint="eastAsia" w:ascii="宋体" w:hAnsi="宋体" w:eastAsia="宋体" w:cs="宋体"/>
          <w:bCs/>
          <w:color w:val="auto"/>
          <w:szCs w:val="21"/>
          <w:highlight w:val="none"/>
        </w:rPr>
        <w:t>》格式报价的；</w:t>
      </w:r>
    </w:p>
    <w:p w14:paraId="78717D74">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发现对我公司人员请客送礼及类似情形的；</w:t>
      </w:r>
    </w:p>
    <w:p w14:paraId="4E281D0B">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有明显串标、围标现象的；</w:t>
      </w:r>
    </w:p>
    <w:p w14:paraId="4A29D648">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投标人的报价明显低于其他投标报价或者在设有成本价时低于成本价，使得其投标报价可能低于成本价的，应当要求该投标人</w:t>
      </w:r>
      <w:r>
        <w:rPr>
          <w:rFonts w:hint="eastAsia" w:ascii="宋体" w:hAnsi="宋体" w:eastAsia="宋体" w:cs="宋体"/>
          <w:bCs/>
          <w:color w:val="auto"/>
          <w:szCs w:val="21"/>
          <w:highlight w:val="none"/>
          <w:lang w:eastAsia="zh-CN"/>
        </w:rPr>
        <w:t>作出</w:t>
      </w:r>
      <w:r>
        <w:rPr>
          <w:rFonts w:hint="eastAsia" w:ascii="宋体" w:hAnsi="宋体" w:eastAsia="宋体" w:cs="宋体"/>
          <w:bCs/>
          <w:color w:val="auto"/>
          <w:szCs w:val="21"/>
          <w:highlight w:val="none"/>
        </w:rPr>
        <w:t>书面说明并提供相关证明材料。投标人不能合理说明或者不能提供相关证明材料的，由评标小组认定该投标人以低于成本报价竞标。</w:t>
      </w:r>
    </w:p>
    <w:p w14:paraId="060E448E">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投标人提出不同的工程验收、计量、支付办法。</w:t>
      </w:r>
    </w:p>
    <w:p w14:paraId="63D17329">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以他人的名义挂靠投标、相互串通投标的、通过弄虚作假骗取中标的、采用行贿等违法手段试图中标的，定标前发现的其投标报废标处理，定标后发现的取消其中标资格，同时，该投标人立即列入《供应商黑名单</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5年内不得在集团范围内参与任何投标或业务。</w:t>
      </w:r>
    </w:p>
    <w:p w14:paraId="44574049">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招标方认定的其他情形。</w:t>
      </w:r>
    </w:p>
    <w:bookmarkEnd w:id="152"/>
    <w:bookmarkEnd w:id="153"/>
    <w:bookmarkEnd w:id="154"/>
    <w:p w14:paraId="4DB7C794">
      <w:pPr>
        <w:pStyle w:val="29"/>
        <w:numPr>
          <w:ilvl w:val="0"/>
          <w:numId w:val="0"/>
        </w:numPr>
        <w:tabs>
          <w:tab w:val="left" w:pos="851"/>
        </w:tabs>
        <w:ind w:leftChars="0"/>
        <w:rPr>
          <w:rFonts w:hint="eastAsia" w:ascii="宋体" w:hAnsi="宋体" w:eastAsia="宋体" w:cs="宋体"/>
          <w:color w:val="auto"/>
          <w:highlight w:val="none"/>
          <w:lang w:val="en-US" w:eastAsia="zh-CN"/>
        </w:rPr>
      </w:pPr>
      <w:bookmarkStart w:id="155" w:name="_Toc162410001"/>
      <w:bookmarkStart w:id="156" w:name="_Toc481596034"/>
      <w:bookmarkStart w:id="157" w:name="_Toc162409861"/>
      <w:bookmarkStart w:id="158" w:name="_Toc362441715"/>
      <w:bookmarkStart w:id="159" w:name="_Toc216695528"/>
    </w:p>
    <w:p w14:paraId="7F9D6BB2">
      <w:pPr>
        <w:pStyle w:val="29"/>
        <w:numPr>
          <w:ilvl w:val="0"/>
          <w:numId w:val="0"/>
        </w:numPr>
        <w:tabs>
          <w:tab w:val="left" w:pos="851"/>
        </w:tabs>
        <w:ind w:leftChars="0"/>
        <w:rPr>
          <w:rFonts w:hint="eastAsia" w:ascii="宋体" w:hAnsi="宋体" w:eastAsia="宋体" w:cs="宋体"/>
          <w:color w:val="auto"/>
          <w:highlight w:val="none"/>
        </w:rPr>
      </w:pPr>
      <w:r>
        <w:rPr>
          <w:rFonts w:hint="eastAsia" w:hAnsi="宋体" w:cs="宋体"/>
          <w:color w:val="auto"/>
          <w:highlight w:val="none"/>
          <w:lang w:val="en-US" w:eastAsia="zh-CN"/>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评标</w:t>
      </w:r>
      <w:bookmarkEnd w:id="155"/>
      <w:bookmarkEnd w:id="156"/>
      <w:bookmarkEnd w:id="157"/>
      <w:bookmarkEnd w:id="158"/>
      <w:bookmarkEnd w:id="159"/>
    </w:p>
    <w:p w14:paraId="029A4613">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2.1</w:t>
      </w:r>
      <w:r>
        <w:rPr>
          <w:rFonts w:hint="eastAsia" w:ascii="宋体" w:hAnsi="宋体" w:eastAsia="宋体" w:cs="宋体"/>
          <w:color w:val="auto"/>
          <w:sz w:val="21"/>
          <w:szCs w:val="21"/>
          <w:highlight w:val="none"/>
        </w:rPr>
        <w:t>本招标工程的评标活动由招标人组建的评标小组负责。</w:t>
      </w:r>
    </w:p>
    <w:p w14:paraId="78405B55">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2.2</w:t>
      </w:r>
      <w:r>
        <w:rPr>
          <w:rFonts w:hint="eastAsia" w:ascii="宋体" w:hAnsi="宋体" w:eastAsia="宋体" w:cs="宋体"/>
          <w:color w:val="auto"/>
          <w:sz w:val="21"/>
          <w:szCs w:val="21"/>
          <w:highlight w:val="none"/>
        </w:rPr>
        <w:t>招标方在评标过程中会综合考虑到投标人的实力、信誉、业绩、工期、技术含量、产品质量、报价等因素。</w:t>
      </w:r>
    </w:p>
    <w:p w14:paraId="7C627DCE">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2.3</w:t>
      </w:r>
      <w:r>
        <w:rPr>
          <w:rFonts w:hint="eastAsia" w:ascii="宋体" w:hAnsi="宋体" w:eastAsia="宋体" w:cs="宋体"/>
          <w:color w:val="auto"/>
          <w:sz w:val="21"/>
          <w:szCs w:val="21"/>
          <w:highlight w:val="none"/>
        </w:rPr>
        <w:t>招标人将判断投标人是否能圆满地履行合同。如果招标人认为投标人没有能力或资格履行合同，他的投标书将被拒绝。</w:t>
      </w:r>
    </w:p>
    <w:p w14:paraId="55F63A05">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2.4</w:t>
      </w:r>
      <w:r>
        <w:rPr>
          <w:rFonts w:hint="eastAsia" w:ascii="宋体" w:hAnsi="宋体" w:eastAsia="宋体" w:cs="宋体"/>
          <w:color w:val="auto"/>
          <w:sz w:val="21"/>
          <w:szCs w:val="21"/>
          <w:highlight w:val="none"/>
        </w:rPr>
        <w:t>评标方法：</w:t>
      </w:r>
      <w:r>
        <w:rPr>
          <w:rFonts w:hint="eastAsia" w:ascii="宋体" w:hAnsi="宋体" w:eastAsia="宋体" w:cs="宋体"/>
          <w:color w:val="auto"/>
          <w:sz w:val="21"/>
          <w:szCs w:val="21"/>
          <w:highlight w:val="none"/>
          <w:u w:val="single"/>
        </w:rPr>
        <w:t>综合评标法</w:t>
      </w:r>
      <w:r>
        <w:rPr>
          <w:rFonts w:hint="eastAsia" w:ascii="宋体" w:hAnsi="宋体" w:eastAsia="宋体" w:cs="宋体"/>
          <w:color w:val="auto"/>
          <w:sz w:val="21"/>
          <w:szCs w:val="21"/>
          <w:highlight w:val="none"/>
        </w:rPr>
        <w:t>。</w:t>
      </w:r>
    </w:p>
    <w:p w14:paraId="5DAD6D24">
      <w:pPr>
        <w:numPr>
          <w:ilvl w:val="0"/>
          <w:numId w:val="0"/>
        </w:numPr>
        <w:tabs>
          <w:tab w:val="left" w:pos="851"/>
        </w:tabs>
        <w:spacing w:line="360" w:lineRule="auto"/>
        <w:ind w:leftChars="-405"/>
        <w:jc w:val="both"/>
        <w:rPr>
          <w:rFonts w:hint="eastAsia" w:ascii="宋体" w:hAnsi="宋体" w:eastAsia="宋体" w:cs="宋体"/>
          <w:color w:val="auto"/>
          <w:sz w:val="21"/>
          <w:szCs w:val="21"/>
          <w:highlight w:val="none"/>
        </w:rPr>
      </w:pPr>
    </w:p>
    <w:p w14:paraId="37282B71">
      <w:pPr>
        <w:pStyle w:val="29"/>
        <w:numPr>
          <w:ilvl w:val="0"/>
          <w:numId w:val="0"/>
        </w:numPr>
        <w:tabs>
          <w:tab w:val="left" w:pos="851"/>
        </w:tabs>
        <w:ind w:leftChars="0"/>
        <w:rPr>
          <w:rFonts w:hint="eastAsia" w:ascii="宋体" w:hAnsi="宋体" w:eastAsia="宋体" w:cs="宋体"/>
          <w:color w:val="auto"/>
          <w:highlight w:val="none"/>
        </w:rPr>
      </w:pPr>
      <w:r>
        <w:rPr>
          <w:rFonts w:hint="eastAsia" w:hAnsi="宋体" w:cs="宋体"/>
          <w:color w:val="auto"/>
          <w:highlight w:val="none"/>
          <w:lang w:val="en-US" w:eastAsia="zh-CN"/>
        </w:rPr>
        <w:t>3</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投标文件的澄清</w:t>
      </w:r>
    </w:p>
    <w:p w14:paraId="77791752">
      <w:pPr>
        <w:pStyle w:val="67"/>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3.1</w:t>
      </w:r>
      <w:r>
        <w:rPr>
          <w:rFonts w:hint="eastAsia" w:ascii="宋体" w:hAnsi="宋体" w:eastAsia="宋体" w:cs="宋体"/>
          <w:color w:val="auto"/>
          <w:szCs w:val="21"/>
          <w:highlight w:val="none"/>
        </w:rPr>
        <w:t>在评标阶段，招标人认为需要时，可书面通知投标人要求澄清投标文件的问题，或者要求补充某些资料，包括单价和分析资料；</w:t>
      </w:r>
    </w:p>
    <w:p w14:paraId="45DC7297">
      <w:pPr>
        <w:pStyle w:val="67"/>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3.2</w:t>
      </w:r>
      <w:r>
        <w:rPr>
          <w:rFonts w:hint="eastAsia" w:ascii="宋体" w:hAnsi="宋体" w:eastAsia="宋体" w:cs="宋体"/>
          <w:color w:val="auto"/>
          <w:szCs w:val="21"/>
          <w:highlight w:val="none"/>
        </w:rPr>
        <w:t>有关澄清的要求和答复，均应以书面文件进行。</w:t>
      </w:r>
    </w:p>
    <w:p w14:paraId="1D5C8E64">
      <w:pPr>
        <w:pStyle w:val="67"/>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eastAsia="宋体" w:cs="宋体"/>
          <w:color w:val="auto"/>
          <w:szCs w:val="21"/>
          <w:highlight w:val="none"/>
        </w:rPr>
        <w:t>如发现投标人的投标文件可产生多种理解，可以要求投标人对标书予以澄清和修正，并以书面澄清形式列明澄清内容提交招标人作为投标文件的补充内容，密封提交，由采购经办人再次组织开标，澄清实质上改变了投标内容的，该投标人投标文件作废</w:t>
      </w:r>
    </w:p>
    <w:p w14:paraId="5A7EE7CA">
      <w:pPr>
        <w:pStyle w:val="67"/>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3.4</w:t>
      </w:r>
      <w:r>
        <w:rPr>
          <w:rFonts w:hint="eastAsia" w:ascii="宋体" w:hAnsi="宋体" w:eastAsia="宋体" w:cs="宋体"/>
          <w:color w:val="auto"/>
          <w:szCs w:val="21"/>
          <w:highlight w:val="none"/>
        </w:rPr>
        <w:t>对投标报价的澄清应遵循以下原则：采用工程量清单计价方式的，对投标报价的澄清应限于数据累加有误、小数点有误，在此基础上的澄清结果才允许调整投标总价，其它澄清均不得改变投标价格。</w:t>
      </w:r>
    </w:p>
    <w:p w14:paraId="702FAC1C">
      <w:pPr>
        <w:pStyle w:val="29"/>
        <w:numPr>
          <w:ilvl w:val="0"/>
          <w:numId w:val="0"/>
        </w:numPr>
        <w:tabs>
          <w:tab w:val="left" w:pos="851"/>
        </w:tabs>
        <w:ind w:leftChars="0"/>
        <w:rPr>
          <w:rFonts w:hint="eastAsia" w:ascii="宋体" w:hAnsi="宋体" w:eastAsia="宋体" w:cs="宋体"/>
          <w:color w:val="auto"/>
          <w:highlight w:val="none"/>
        </w:rPr>
      </w:pPr>
      <w:bookmarkStart w:id="160" w:name="_Toc362441716"/>
      <w:bookmarkStart w:id="161" w:name="_Toc481596035"/>
      <w:bookmarkStart w:id="162" w:name="_Toc216695529"/>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中标</w:t>
      </w:r>
      <w:bookmarkEnd w:id="160"/>
      <w:bookmarkEnd w:id="161"/>
      <w:bookmarkEnd w:id="162"/>
    </w:p>
    <w:p w14:paraId="5571B3BC">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4.1</w:t>
      </w:r>
      <w:r>
        <w:rPr>
          <w:rFonts w:hint="eastAsia" w:ascii="宋体" w:hAnsi="宋体" w:eastAsia="宋体" w:cs="宋体"/>
          <w:color w:val="auto"/>
          <w:sz w:val="21"/>
          <w:szCs w:val="21"/>
          <w:highlight w:val="none"/>
        </w:rPr>
        <w:t>招标人可以向中标人发出《中标通知书》。</w:t>
      </w:r>
    </w:p>
    <w:p w14:paraId="2441A5D5">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4.2</w:t>
      </w:r>
      <w:r>
        <w:rPr>
          <w:rFonts w:hint="eastAsia" w:ascii="宋体" w:hAnsi="宋体" w:eastAsia="宋体" w:cs="宋体"/>
          <w:color w:val="auto"/>
          <w:sz w:val="21"/>
          <w:szCs w:val="21"/>
          <w:highlight w:val="none"/>
        </w:rPr>
        <w:t>《中标通知书》为合同文件的组成部分。</w:t>
      </w:r>
    </w:p>
    <w:p w14:paraId="102EB5E5">
      <w:pPr>
        <w:pStyle w:val="29"/>
        <w:numPr>
          <w:ilvl w:val="0"/>
          <w:numId w:val="0"/>
        </w:numPr>
        <w:tabs>
          <w:tab w:val="left" w:pos="851"/>
        </w:tabs>
        <w:ind w:leftChars="0"/>
        <w:rPr>
          <w:rFonts w:hint="eastAsia" w:ascii="宋体" w:hAnsi="宋体" w:eastAsia="宋体" w:cs="宋体"/>
          <w:color w:val="auto"/>
          <w:highlight w:val="none"/>
        </w:rPr>
      </w:pPr>
      <w:bookmarkStart w:id="163" w:name="_Toc481596036"/>
      <w:bookmarkStart w:id="164" w:name="_Toc162409866"/>
      <w:bookmarkStart w:id="165" w:name="_Toc162410006"/>
      <w:bookmarkStart w:id="166" w:name="_Toc216695530"/>
      <w:bookmarkStart w:id="167" w:name="_Toc362441717"/>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合同</w:t>
      </w:r>
      <w:bookmarkEnd w:id="163"/>
      <w:bookmarkEnd w:id="164"/>
      <w:bookmarkEnd w:id="165"/>
      <w:bookmarkEnd w:id="166"/>
      <w:bookmarkEnd w:id="167"/>
      <w:r>
        <w:rPr>
          <w:rFonts w:hint="eastAsia" w:ascii="宋体" w:hAnsi="宋体" w:eastAsia="宋体" w:cs="宋体"/>
          <w:color w:val="auto"/>
          <w:highlight w:val="none"/>
        </w:rPr>
        <w:t>签署</w:t>
      </w:r>
    </w:p>
    <w:p w14:paraId="7DAC9A74">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5.1</w:t>
      </w:r>
      <w:r>
        <w:rPr>
          <w:rFonts w:hint="eastAsia" w:ascii="宋体" w:hAnsi="宋体" w:eastAsia="宋体" w:cs="宋体"/>
          <w:color w:val="auto"/>
          <w:sz w:val="21"/>
          <w:szCs w:val="21"/>
          <w:highlight w:val="none"/>
        </w:rPr>
        <w:t>中标人应按《中标通知书》指定的时间、地点和程序与招标人签订合同。</w:t>
      </w:r>
    </w:p>
    <w:p w14:paraId="2D9FE674">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5.2</w:t>
      </w:r>
      <w:r>
        <w:rPr>
          <w:rFonts w:hint="eastAsia" w:ascii="宋体" w:hAnsi="宋体" w:eastAsia="宋体" w:cs="宋体"/>
          <w:color w:val="auto"/>
          <w:sz w:val="21"/>
          <w:szCs w:val="21"/>
          <w:highlight w:val="none"/>
        </w:rPr>
        <w:t>中标人如不按本须知的规定签订合同，则招标人将有权取消其中标资格，并没收其投标保证金，对因此给招标人造成的损失超过投标保证金的，还应当对超过部分予以赔偿，同时依法承担相应的法律责任</w:t>
      </w:r>
    </w:p>
    <w:p w14:paraId="0425C379">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5.3</w:t>
      </w:r>
      <w:r>
        <w:rPr>
          <w:rFonts w:hint="eastAsia" w:ascii="宋体" w:hAnsi="宋体" w:eastAsia="宋体" w:cs="宋体"/>
          <w:color w:val="auto"/>
          <w:sz w:val="21"/>
          <w:szCs w:val="21"/>
          <w:highlight w:val="none"/>
        </w:rPr>
        <w:t>招标人保留在合同签订之前任何时候接受或拒绝任何投标，以及宣布招标程序无效或拒绝所有投标的权力，对受影响的投标人不承担任何责任，也无义务向受影响的投标人解释采取这一行动的理由。</w:t>
      </w:r>
    </w:p>
    <w:p w14:paraId="40989943">
      <w:pPr>
        <w:pStyle w:val="29"/>
        <w:numPr>
          <w:ilvl w:val="0"/>
          <w:numId w:val="0"/>
        </w:numPr>
        <w:tabs>
          <w:tab w:val="left" w:pos="851"/>
        </w:tabs>
        <w:ind w:leftChars="0"/>
        <w:rPr>
          <w:rFonts w:hint="eastAsia" w:ascii="宋体" w:hAnsi="宋体" w:eastAsia="宋体" w:cs="宋体"/>
          <w:color w:val="auto"/>
          <w:highlight w:val="none"/>
        </w:rPr>
      </w:pPr>
      <w:bookmarkStart w:id="168" w:name="_Toc185220412"/>
      <w:bookmarkStart w:id="169" w:name="_Toc216695531"/>
      <w:bookmarkStart w:id="170" w:name="_Toc187134797"/>
      <w:bookmarkStart w:id="171" w:name="_Toc187141297"/>
      <w:bookmarkStart w:id="172" w:name="_Toc481596037"/>
      <w:bookmarkStart w:id="173" w:name="_Toc362441718"/>
      <w:bookmarkStart w:id="174" w:name="_Toc185303164"/>
      <w:r>
        <w:rPr>
          <w:rFonts w:hint="eastAsia" w:hAnsi="宋体" w:cs="宋体"/>
          <w:color w:val="auto"/>
          <w:highlight w:val="none"/>
          <w:lang w:val="en-US" w:eastAsia="zh-CN"/>
        </w:rPr>
        <w:t>6</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履约担保</w:t>
      </w:r>
      <w:bookmarkEnd w:id="168"/>
      <w:bookmarkEnd w:id="169"/>
      <w:bookmarkEnd w:id="170"/>
      <w:bookmarkEnd w:id="171"/>
      <w:bookmarkEnd w:id="172"/>
      <w:bookmarkEnd w:id="173"/>
      <w:bookmarkEnd w:id="174"/>
    </w:p>
    <w:p w14:paraId="1E858C66">
      <w:pPr>
        <w:keepNext w:val="0"/>
        <w:keepLines w:val="0"/>
        <w:pageBreakBefore w:val="0"/>
        <w:widowControl w:val="0"/>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.1 中标人须在收到中标通知书后3个工作日内、签订合同前，向招标人提交履约担保，担保金额为合同总价的</w:t>
      </w:r>
      <w:r>
        <w:rPr>
          <w:rFonts w:hint="eastAsia" w:hAnsi="宋体" w:cs="宋体"/>
          <w:color w:val="auto"/>
          <w:sz w:val="21"/>
          <w:szCs w:val="21"/>
          <w:highlight w:val="none"/>
          <w:u w:val="single"/>
          <w:lang w:val="en-US" w:eastAsia="zh-CN"/>
        </w:rPr>
        <w:t xml:space="preserve"> 10 </w:t>
      </w:r>
      <w:r>
        <w:rPr>
          <w:rFonts w:hint="eastAsia" w:ascii="宋体" w:hAnsi="宋体" w:eastAsia="宋体" w:cs="宋体"/>
          <w:color w:val="auto"/>
          <w:sz w:val="21"/>
          <w:szCs w:val="21"/>
          <w:highlight w:val="none"/>
        </w:rPr>
        <w:t>%。履约担保可采用以下形式之一： （1）银行转账（须从中标人基本账户转出）； （2）银行保函（须为见索即付型独立保函）。</w:t>
      </w:r>
    </w:p>
    <w:p w14:paraId="7C9879AB">
      <w:pPr>
        <w:keepNext w:val="0"/>
        <w:keepLines w:val="0"/>
        <w:pageBreakBefore w:val="0"/>
        <w:widowControl w:val="0"/>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.2 中标人未按要求提交履约担保的，招标人有权取消其中标资格，投标保证金不予退还，且招标人有权顺延与下一中标候选人签订合同或重新招标。</w:t>
      </w:r>
    </w:p>
    <w:p w14:paraId="4D39DFC7">
      <w:pPr>
        <w:keepNext w:val="0"/>
        <w:keepLines w:val="0"/>
        <w:pageBreakBefore w:val="0"/>
        <w:widowControl w:val="0"/>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.3 履约担保在工程竣工验收合格且结算完成后15个工作日内无息退还。如中标人履行合同义务过程中发生违约，招标人有权从履约担保中扣除相应违约金或损失赔偿金额。</w:t>
      </w:r>
    </w:p>
    <w:p w14:paraId="6A2FC1DE">
      <w:pPr>
        <w:keepNext w:val="0"/>
        <w:keepLines w:val="0"/>
        <w:pageBreakBefore w:val="0"/>
        <w:widowControl w:val="0"/>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D4A48D4">
      <w:pPr>
        <w:pStyle w:val="2"/>
        <w:spacing w:before="360" w:beforeLines="150" w:after="360" w:afterLines="150" w:line="360" w:lineRule="auto"/>
        <w:jc w:val="center"/>
        <w:rPr>
          <w:rFonts w:hint="eastAsia" w:ascii="宋体" w:hAnsi="宋体" w:eastAsia="宋体" w:cs="宋体"/>
          <w:color w:val="auto"/>
          <w:highlight w:val="none"/>
        </w:rPr>
      </w:pPr>
      <w:bookmarkStart w:id="175" w:name="_Toc486604845"/>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五</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其他说明</w:t>
      </w:r>
      <w:bookmarkEnd w:id="175"/>
    </w:p>
    <w:p w14:paraId="0312EF1B">
      <w:pPr>
        <w:pStyle w:val="29"/>
        <w:numPr>
          <w:ilvl w:val="0"/>
          <w:numId w:val="0"/>
        </w:numPr>
        <w:tabs>
          <w:tab w:val="left" w:pos="851"/>
        </w:tabs>
        <w:ind w:left="57" w:lef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投标文件的语言及度量衡单位</w:t>
      </w:r>
    </w:p>
    <w:p w14:paraId="2F0C7A47">
      <w:pPr>
        <w:pStyle w:val="67"/>
        <w:numPr>
          <w:ilvl w:val="0"/>
          <w:numId w:val="12"/>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本工程有关的招标文件、投标文件以及招标人与投标人之间的所有往来函电和文件等均应使用简体中文。投标人随投标文件提供的证明文件和资料可以为其它语言，但必须附中文译文作为解释的依据，以中文译本为准。</w:t>
      </w:r>
    </w:p>
    <w:p w14:paraId="16002989">
      <w:pPr>
        <w:pStyle w:val="67"/>
        <w:numPr>
          <w:ilvl w:val="0"/>
          <w:numId w:val="12"/>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除工程规范另有规定外，与本工程招标投标有关的招标文件和投标文件使用的度量衡单位，均采用中华人民共和国法定计量单位。</w:t>
      </w:r>
    </w:p>
    <w:p w14:paraId="028153CF">
      <w:pPr>
        <w:pStyle w:val="67"/>
        <w:numPr>
          <w:ilvl w:val="0"/>
          <w:numId w:val="12"/>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本工程招标投标涉及计价货币的，均以人民币为计价货币。</w:t>
      </w:r>
    </w:p>
    <w:p w14:paraId="2B6574CF">
      <w:pPr>
        <w:pStyle w:val="29"/>
        <w:numPr>
          <w:ilvl w:val="0"/>
          <w:numId w:val="0"/>
        </w:numPr>
        <w:spacing w:line="336" w:lineRule="auto"/>
        <w:ind w:leftChars="0"/>
        <w:rPr>
          <w:rFonts w:hint="eastAsia" w:ascii="宋体" w:hAnsi="宋体" w:eastAsia="宋体" w:cs="宋体"/>
          <w:color w:val="auto"/>
          <w:highlight w:val="none"/>
        </w:rPr>
      </w:pPr>
      <w:bookmarkStart w:id="176" w:name="_Toc362441719"/>
      <w:bookmarkStart w:id="177" w:name="_Toc216695533"/>
      <w:bookmarkStart w:id="178" w:name="_Toc162409869"/>
      <w:bookmarkStart w:id="179" w:name="_Toc162410009"/>
      <w:bookmarkStart w:id="180" w:name="_Toc481596038"/>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保密</w:t>
      </w:r>
      <w:bookmarkEnd w:id="176"/>
      <w:bookmarkEnd w:id="177"/>
      <w:bookmarkEnd w:id="178"/>
      <w:bookmarkEnd w:id="179"/>
      <w:bookmarkEnd w:id="180"/>
      <w:r>
        <w:rPr>
          <w:rFonts w:hint="eastAsia" w:ascii="宋体" w:hAnsi="宋体" w:eastAsia="宋体" w:cs="宋体"/>
          <w:color w:val="auto"/>
          <w:highlight w:val="none"/>
        </w:rPr>
        <w:t>和知识产权</w:t>
      </w:r>
    </w:p>
    <w:p w14:paraId="3FD7F507">
      <w:pPr>
        <w:pStyle w:val="67"/>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投标人应当对招标人在招标文件中涉及的商业和技术等秘密保密。</w:t>
      </w:r>
    </w:p>
    <w:p w14:paraId="31E0E9AB">
      <w:pPr>
        <w:pStyle w:val="67"/>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凡属于审查、澄清、评价和比较投标文件以及与确定中标人有关的资料信息，所有参加评标的人员都不应向投标人或与该过程无关的其他人员泄露。</w:t>
      </w:r>
    </w:p>
    <w:p w14:paraId="36585FEA">
      <w:pPr>
        <w:pStyle w:val="67"/>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投标文件的审查、澄清、评价和比较以及定标过程中，除非根据评标小组的要求，投标人不得主动与招标人和评标委员会的任何成员接触，不得有任何游说、贿赂等影响评标小组成员公正和客观地进行评标的行为。投标人对招标人或评标小组任何成员施加影响的任何企图和行为，都将导致其投标文件被废止、强制退出投标和取消中标资格。</w:t>
      </w:r>
    </w:p>
    <w:p w14:paraId="609E05E9">
      <w:pPr>
        <w:pStyle w:val="67"/>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构成本招标文件各个组成部分的文件都是有关各方的智力劳动成果，未经招标人书面许可，投标人不得擅自复印和用于非本招标工程所需的其他目的。</w:t>
      </w:r>
    </w:p>
    <w:p w14:paraId="41267DC5">
      <w:pPr>
        <w:pStyle w:val="29"/>
        <w:numPr>
          <w:ilvl w:val="0"/>
          <w:numId w:val="0"/>
        </w:numPr>
        <w:spacing w:line="336" w:lineRule="auto"/>
        <w:ind w:lef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接受和拒绝接受投标的权力</w:t>
      </w:r>
    </w:p>
    <w:p w14:paraId="7557C17E">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baseline"/>
        <w:rPr>
          <w:rFonts w:hint="eastAsia" w:ascii="宋体" w:hAnsi="宋体" w:eastAsia="宋体" w:cs="宋体"/>
          <w:color w:val="auto"/>
          <w:highlight w:val="none"/>
        </w:rPr>
      </w:pPr>
      <w:r>
        <w:rPr>
          <w:rFonts w:hint="eastAsia" w:ascii="宋体" w:hAnsi="宋体" w:eastAsia="宋体" w:cs="宋体"/>
          <w:color w:val="auto"/>
          <w:sz w:val="21"/>
          <w:szCs w:val="21"/>
          <w:highlight w:val="none"/>
        </w:rPr>
        <w:t>在招标人确认接受投标之前的任何时候，招标人有权接受或拒绝任何投标，宣布投标无效或拒绝所有投标，并对由此而引起的投标人的影响不承担责任，也不解释原因，有权拒绝报价最低、评分最高或其它任何报价的投标文件。</w:t>
      </w:r>
    </w:p>
    <w:p w14:paraId="59FE2734">
      <w:pPr>
        <w:pStyle w:val="29"/>
        <w:numPr>
          <w:ilvl w:val="0"/>
          <w:numId w:val="0"/>
        </w:numPr>
        <w:spacing w:line="336" w:lineRule="auto"/>
        <w:ind w:leftChars="0"/>
        <w:rPr>
          <w:rFonts w:hint="eastAsia" w:ascii="宋体" w:hAnsi="宋体" w:eastAsia="宋体" w:cs="宋体"/>
          <w:color w:val="auto"/>
          <w:highlight w:val="none"/>
        </w:rPr>
      </w:pPr>
      <w:bookmarkStart w:id="181" w:name="_Toc362441721"/>
      <w:bookmarkStart w:id="182" w:name="_Toc481596039"/>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其他说明</w:t>
      </w:r>
      <w:bookmarkEnd w:id="181"/>
      <w:bookmarkEnd w:id="182"/>
    </w:p>
    <w:p w14:paraId="7576D960">
      <w:pPr>
        <w:numPr>
          <w:ilvl w:val="1"/>
          <w:numId w:val="14"/>
        </w:numPr>
        <w:tabs>
          <w:tab w:val="left" w:pos="851"/>
        </w:tabs>
        <w:spacing w:line="336"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保留在不背离招标文件实质性内容的前提下，对合同中的非核心条款（如通知方式、联系人信息等程序性条款）进行必要调整的权利。涉及合同实质性内容（包括价格、工期、质量标准、验收标准、违约责任等）的变更，须经双方协商一致并签署书面补充协议。</w:t>
      </w:r>
    </w:p>
    <w:p w14:paraId="2FE8328A">
      <w:pPr>
        <w:numPr>
          <w:ilvl w:val="1"/>
          <w:numId w:val="14"/>
        </w:numPr>
        <w:tabs>
          <w:tab w:val="left" w:pos="851"/>
        </w:tabs>
        <w:spacing w:line="336"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如对本招标文件及合同如有异议，应在投标前提出，如未提出，则视为认可。本招标文件的各项条款是后续合同的重要组成部分，包括招标文件在内的往来函件、图纸及清单等均是组成合同的一部分，若合同文件之间有任何矛盾，以较后时间制订的为准。投标人一旦中标，不得提出与招标文件（包括招标时的合同文件）相抵触的任何要求。</w:t>
      </w:r>
    </w:p>
    <w:p w14:paraId="56625900">
      <w:pPr>
        <w:widowControl/>
        <w:adjustRightInd/>
        <w:spacing w:line="20" w:lineRule="exact"/>
        <w:ind w:hanging="8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C384ECD">
      <w:pPr>
        <w:pStyle w:val="2"/>
        <w:spacing w:before="360" w:beforeLines="150" w:after="360" w:afterLines="150" w:line="360" w:lineRule="auto"/>
        <w:jc w:val="center"/>
        <w:rPr>
          <w:rFonts w:hint="eastAsia" w:ascii="宋体" w:hAnsi="宋体" w:eastAsia="宋体" w:cs="宋体"/>
          <w:color w:val="auto"/>
          <w:sz w:val="32"/>
          <w:szCs w:val="32"/>
          <w:highlight w:val="none"/>
        </w:rPr>
      </w:pPr>
      <w:bookmarkStart w:id="183" w:name="_Toc216695510"/>
      <w:bookmarkStart w:id="184" w:name="_Toc481596040"/>
      <w:bookmarkStart w:id="185" w:name="_Toc362441722"/>
      <w:bookmarkStart w:id="186" w:name="_Toc486604846"/>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部分</w:t>
      </w:r>
      <w:bookmarkEnd w:id="183"/>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招标文件</w:t>
      </w:r>
      <w:bookmarkEnd w:id="184"/>
      <w:bookmarkEnd w:id="185"/>
      <w:r>
        <w:rPr>
          <w:rFonts w:hint="eastAsia" w:ascii="宋体" w:hAnsi="宋体" w:eastAsia="宋体" w:cs="宋体"/>
          <w:color w:val="auto"/>
          <w:sz w:val="32"/>
          <w:szCs w:val="32"/>
          <w:highlight w:val="none"/>
        </w:rPr>
        <w:t>附件</w:t>
      </w:r>
      <w:bookmarkEnd w:id="186"/>
    </w:p>
    <w:p w14:paraId="5A59ABC2">
      <w:pPr>
        <w:pStyle w:val="67"/>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《授权委托书</w:t>
      </w:r>
      <w:r>
        <w:rPr>
          <w:rFonts w:hint="eastAsia" w:ascii="宋体" w:hAnsi="宋体" w:eastAsia="宋体" w:cs="宋体"/>
          <w:color w:val="auto"/>
          <w:szCs w:val="21"/>
          <w:highlight w:val="none"/>
          <w:lang w:val="en-US" w:eastAsia="zh-CN"/>
        </w:rPr>
        <w:t>》</w:t>
      </w:r>
    </w:p>
    <w:p w14:paraId="0C8D533B">
      <w:pPr>
        <w:pStyle w:val="67"/>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《室内空气治理技术要求》</w:t>
      </w:r>
    </w:p>
    <w:p w14:paraId="4DC13D56">
      <w:pPr>
        <w:pStyle w:val="67"/>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《招标清单》</w:t>
      </w:r>
    </w:p>
    <w:p w14:paraId="78C3B50D">
      <w:pPr>
        <w:spacing w:line="360" w:lineRule="auto"/>
        <w:jc w:val="both"/>
        <w:rPr>
          <w:rFonts w:hint="eastAsia" w:ascii="宋体" w:hAnsi="宋体" w:eastAsia="宋体" w:cs="宋体"/>
          <w:b/>
          <w:color w:val="auto"/>
          <w:sz w:val="21"/>
          <w:szCs w:val="21"/>
          <w:highlight w:val="none"/>
        </w:rPr>
      </w:pPr>
    </w:p>
    <w:p w14:paraId="59DA41D9">
      <w:pPr>
        <w:spacing w:line="360" w:lineRule="auto"/>
        <w:jc w:val="center"/>
        <w:rPr>
          <w:rFonts w:hint="eastAsia" w:ascii="宋体" w:hAnsi="宋体" w:eastAsia="宋体" w:cs="宋体"/>
          <w:b/>
          <w:color w:val="auto"/>
          <w:sz w:val="21"/>
          <w:szCs w:val="21"/>
          <w:highlight w:val="none"/>
        </w:rPr>
      </w:pPr>
    </w:p>
    <w:p w14:paraId="6294B9A1">
      <w:pPr>
        <w:spacing w:line="360" w:lineRule="auto"/>
        <w:jc w:val="center"/>
        <w:rPr>
          <w:rFonts w:hint="eastAsia" w:ascii="宋体" w:hAnsi="宋体" w:eastAsia="宋体" w:cs="宋体"/>
          <w:b/>
          <w:color w:val="auto"/>
          <w:sz w:val="21"/>
          <w:szCs w:val="21"/>
          <w:highlight w:val="none"/>
        </w:rPr>
      </w:pPr>
    </w:p>
    <w:p w14:paraId="042F73A6">
      <w:pPr>
        <w:spacing w:line="360" w:lineRule="auto"/>
        <w:jc w:val="center"/>
        <w:rPr>
          <w:rFonts w:hint="eastAsia" w:ascii="宋体" w:hAnsi="宋体" w:eastAsia="宋体" w:cs="宋体"/>
          <w:b/>
          <w:color w:val="auto"/>
          <w:sz w:val="21"/>
          <w:szCs w:val="21"/>
          <w:highlight w:val="none"/>
        </w:rPr>
      </w:pPr>
    </w:p>
    <w:p w14:paraId="4AE956BD">
      <w:pPr>
        <w:spacing w:line="360" w:lineRule="auto"/>
        <w:jc w:val="center"/>
        <w:rPr>
          <w:rFonts w:hint="eastAsia" w:ascii="宋体" w:hAnsi="宋体" w:eastAsia="宋体" w:cs="宋体"/>
          <w:b/>
          <w:color w:val="auto"/>
          <w:sz w:val="21"/>
          <w:szCs w:val="21"/>
          <w:highlight w:val="none"/>
        </w:rPr>
      </w:pPr>
    </w:p>
    <w:p w14:paraId="22B51D6A">
      <w:pPr>
        <w:spacing w:line="360" w:lineRule="auto"/>
        <w:jc w:val="center"/>
        <w:rPr>
          <w:rFonts w:hint="eastAsia" w:ascii="宋体" w:hAnsi="宋体" w:eastAsia="宋体" w:cs="宋体"/>
          <w:b/>
          <w:color w:val="auto"/>
          <w:sz w:val="21"/>
          <w:szCs w:val="21"/>
          <w:highlight w:val="none"/>
        </w:rPr>
      </w:pPr>
    </w:p>
    <w:p w14:paraId="36D28290">
      <w:pPr>
        <w:spacing w:line="360" w:lineRule="auto"/>
        <w:jc w:val="center"/>
        <w:rPr>
          <w:rFonts w:hint="eastAsia" w:ascii="宋体" w:hAnsi="宋体" w:eastAsia="宋体" w:cs="宋体"/>
          <w:b/>
          <w:color w:val="auto"/>
          <w:sz w:val="21"/>
          <w:szCs w:val="21"/>
          <w:highlight w:val="none"/>
        </w:rPr>
      </w:pPr>
    </w:p>
    <w:p w14:paraId="7EA33951">
      <w:pPr>
        <w:spacing w:line="360" w:lineRule="auto"/>
        <w:jc w:val="center"/>
        <w:rPr>
          <w:rFonts w:hint="eastAsia" w:ascii="宋体" w:hAnsi="宋体" w:eastAsia="宋体" w:cs="宋体"/>
          <w:b/>
          <w:color w:val="auto"/>
          <w:sz w:val="21"/>
          <w:szCs w:val="21"/>
          <w:highlight w:val="none"/>
        </w:rPr>
      </w:pPr>
    </w:p>
    <w:p w14:paraId="67DF9EE0">
      <w:pPr>
        <w:spacing w:line="360" w:lineRule="auto"/>
        <w:jc w:val="center"/>
        <w:rPr>
          <w:rFonts w:hint="eastAsia" w:ascii="宋体" w:hAnsi="宋体" w:eastAsia="宋体" w:cs="宋体"/>
          <w:b/>
          <w:color w:val="auto"/>
          <w:sz w:val="21"/>
          <w:szCs w:val="21"/>
          <w:highlight w:val="none"/>
        </w:rPr>
      </w:pPr>
    </w:p>
    <w:p w14:paraId="49C21F7C">
      <w:pPr>
        <w:spacing w:line="360" w:lineRule="auto"/>
        <w:jc w:val="center"/>
        <w:rPr>
          <w:rFonts w:hint="eastAsia" w:ascii="宋体" w:hAnsi="宋体" w:eastAsia="宋体" w:cs="宋体"/>
          <w:b/>
          <w:color w:val="auto"/>
          <w:sz w:val="21"/>
          <w:szCs w:val="21"/>
          <w:highlight w:val="none"/>
        </w:rPr>
      </w:pPr>
    </w:p>
    <w:p w14:paraId="67BFCCFD">
      <w:pPr>
        <w:spacing w:line="360" w:lineRule="auto"/>
        <w:jc w:val="center"/>
        <w:rPr>
          <w:rFonts w:hint="eastAsia" w:ascii="宋体" w:hAnsi="宋体" w:eastAsia="宋体" w:cs="宋体"/>
          <w:b/>
          <w:color w:val="auto"/>
          <w:sz w:val="21"/>
          <w:szCs w:val="21"/>
          <w:highlight w:val="none"/>
        </w:rPr>
      </w:pPr>
    </w:p>
    <w:p w14:paraId="0594005D">
      <w:pPr>
        <w:spacing w:line="360" w:lineRule="auto"/>
        <w:jc w:val="center"/>
        <w:rPr>
          <w:rFonts w:hint="eastAsia" w:ascii="宋体" w:hAnsi="宋体" w:eastAsia="宋体" w:cs="宋体"/>
          <w:b/>
          <w:color w:val="auto"/>
          <w:sz w:val="21"/>
          <w:szCs w:val="21"/>
          <w:highlight w:val="none"/>
        </w:rPr>
      </w:pPr>
    </w:p>
    <w:p w14:paraId="2C5FB497">
      <w:pPr>
        <w:spacing w:line="360" w:lineRule="auto"/>
        <w:jc w:val="center"/>
        <w:rPr>
          <w:rFonts w:hint="eastAsia" w:ascii="宋体" w:hAnsi="宋体" w:eastAsia="宋体" w:cs="宋体"/>
          <w:b/>
          <w:color w:val="auto"/>
          <w:sz w:val="21"/>
          <w:szCs w:val="21"/>
          <w:highlight w:val="none"/>
        </w:rPr>
      </w:pPr>
    </w:p>
    <w:p w14:paraId="037D07A0">
      <w:pPr>
        <w:spacing w:line="360" w:lineRule="auto"/>
        <w:jc w:val="center"/>
        <w:rPr>
          <w:rFonts w:hint="eastAsia" w:ascii="宋体" w:hAnsi="宋体" w:eastAsia="宋体" w:cs="宋体"/>
          <w:b/>
          <w:color w:val="auto"/>
          <w:sz w:val="21"/>
          <w:szCs w:val="21"/>
          <w:highlight w:val="none"/>
        </w:rPr>
      </w:pPr>
    </w:p>
    <w:p w14:paraId="4C258D26">
      <w:pPr>
        <w:spacing w:line="360" w:lineRule="auto"/>
        <w:jc w:val="center"/>
        <w:rPr>
          <w:rFonts w:hint="eastAsia" w:ascii="宋体" w:hAnsi="宋体" w:eastAsia="宋体" w:cs="宋体"/>
          <w:b/>
          <w:color w:val="auto"/>
          <w:sz w:val="21"/>
          <w:szCs w:val="21"/>
          <w:highlight w:val="none"/>
        </w:rPr>
      </w:pPr>
    </w:p>
    <w:bookmarkEnd w:id="109"/>
    <w:bookmarkEnd w:id="110"/>
    <w:p w14:paraId="4F81E2B6">
      <w:pPr>
        <w:spacing w:line="360" w:lineRule="auto"/>
        <w:jc w:val="both"/>
        <w:rPr>
          <w:rFonts w:hint="eastAsia" w:ascii="宋体" w:hAnsi="宋体" w:eastAsia="宋体" w:cs="宋体"/>
          <w:b/>
          <w:color w:val="auto"/>
          <w:spacing w:val="8"/>
          <w:sz w:val="28"/>
          <w:szCs w:val="28"/>
          <w:highlight w:val="none"/>
        </w:rPr>
      </w:pPr>
    </w:p>
    <w:sectPr>
      <w:headerReference r:id="rId5" w:type="default"/>
      <w:footerReference r:id="rId6" w:type="default"/>
      <w:pgSz w:w="11906" w:h="16838"/>
      <w:pgMar w:top="1418" w:right="1191" w:bottom="1134" w:left="1418" w:header="567" w:footer="567"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8493968"/>
    </w:sdtPr>
    <w:sdtContent>
      <w:p w14:paraId="417C55BB">
        <w:pPr>
          <w:pStyle w:val="27"/>
          <w:jc w:val="center"/>
        </w:pPr>
        <w:r>
          <w:fldChar w:fldCharType="begin"/>
        </w:r>
        <w:r>
          <w:instrText xml:space="preserve">PAGE   \* MERGEFORMAT</w:instrText>
        </w:r>
        <w:r>
          <w:fldChar w:fldCharType="separate"/>
        </w:r>
        <w:r>
          <w:rPr>
            <w:lang w:val="zh-CN"/>
          </w:rPr>
          <w:t>47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AE120">
    <w:pPr>
      <w:pStyle w:val="28"/>
      <w:jc w:val="left"/>
      <w:rPr>
        <w:szCs w:val="18"/>
      </w:rPr>
    </w:pPr>
    <w:r>
      <w:rPr>
        <w:rFonts w:hint="eastAsia"/>
        <w:szCs w:val="18"/>
      </w:rPr>
      <w:t xml:space="preserve"> </w:t>
    </w:r>
    <w:r>
      <w:rPr>
        <w:szCs w:val="18"/>
      </w:rPr>
      <w:t xml:space="preserve">                  </w:t>
    </w:r>
    <w:r>
      <w:rPr>
        <w:rFonts w:hint="eastAsia"/>
        <w:szCs w:val="18"/>
        <w:lang w:val="en-US" w:eastAsia="zh-CN"/>
      </w:rPr>
      <w:t xml:space="preserve">         </w:t>
    </w:r>
    <w:r>
      <w:rPr>
        <w:szCs w:val="18"/>
      </w:rPr>
      <w:t xml:space="preserve">  </w:t>
    </w:r>
    <w:r>
      <w:rPr>
        <w:rFonts w:hint="eastAsia"/>
        <w:szCs w:val="18"/>
        <w:lang w:eastAsia="zh-CN"/>
      </w:rPr>
      <w:t>深圳亚洲创建工业园城市更新项目</w:t>
    </w:r>
    <w:r>
      <w:rPr>
        <w:rFonts w:hint="eastAsia"/>
        <w:szCs w:val="18"/>
        <w:lang w:val="en-US" w:eastAsia="zh-CN"/>
      </w:rPr>
      <w:t>空气检测及治理</w:t>
    </w:r>
    <w:r>
      <w:rPr>
        <w:rFonts w:hint="eastAsia"/>
        <w:szCs w:val="18"/>
      </w:rPr>
      <w:t>工程招标文件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F5B07"/>
    <w:multiLevelType w:val="multilevel"/>
    <w:tmpl w:val="9DCF5B07"/>
    <w:lvl w:ilvl="0" w:tentative="0">
      <w:start w:val="9"/>
      <w:numFmt w:val="decimal"/>
      <w:lvlText w:val="%1"/>
      <w:lvlJc w:val="left"/>
      <w:pPr>
        <w:ind w:left="360" w:hanging="360"/>
      </w:pPr>
      <w:rPr>
        <w:rFonts w:hint="default"/>
      </w:rPr>
    </w:lvl>
    <w:lvl w:ilvl="1" w:tentative="0">
      <w:start w:val="1"/>
      <w:numFmt w:val="decimal"/>
      <w:lvlText w:val="3.%2"/>
      <w:lvlJc w:val="left"/>
      <w:pPr>
        <w:ind w:left="0" w:leftChars="0" w:firstLine="40" w:firstLineChars="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abstractNum w:abstractNumId="1">
    <w:nsid w:val="9E057504"/>
    <w:multiLevelType w:val="multilevel"/>
    <w:tmpl w:val="9E057504"/>
    <w:lvl w:ilvl="0" w:tentative="0">
      <w:start w:val="19"/>
      <w:numFmt w:val="decimal"/>
      <w:lvlText w:val="%1"/>
      <w:lvlJc w:val="left"/>
      <w:pPr>
        <w:ind w:left="420" w:hanging="420"/>
      </w:pPr>
      <w:rPr>
        <w:rFonts w:hint="default"/>
      </w:rPr>
    </w:lvl>
    <w:lvl w:ilvl="1" w:tentative="0">
      <w:start w:val="1"/>
      <w:numFmt w:val="decimal"/>
      <w:lvlText w:val="4.%2"/>
      <w:lvlJc w:val="left"/>
      <w:pPr>
        <w:ind w:left="0" w:leftChars="0" w:firstLine="40" w:firstLineChars="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abstractNum w:abstractNumId="2">
    <w:nsid w:val="BF8BC0DF"/>
    <w:multiLevelType w:val="multilevel"/>
    <w:tmpl w:val="BF8BC0DF"/>
    <w:lvl w:ilvl="0" w:tentative="0">
      <w:start w:val="1"/>
      <w:numFmt w:val="decimal"/>
      <w:lvlText w:val="%1."/>
      <w:lvlJc w:val="left"/>
      <w:pPr>
        <w:tabs>
          <w:tab w:val="left" w:pos="937"/>
        </w:tabs>
        <w:ind w:left="-84" w:firstLine="510"/>
      </w:pPr>
      <w:rPr>
        <w:rFonts w:hint="eastAsia"/>
        <w:b w:val="0"/>
        <w:i w:val="0"/>
      </w:rPr>
    </w:lvl>
    <w:lvl w:ilvl="1" w:tentative="0">
      <w:start w:val="1"/>
      <w:numFmt w:val="decimal"/>
      <w:lvlText w:val="2.%2"/>
      <w:lvlJc w:val="left"/>
      <w:pPr>
        <w:ind w:left="0" w:leftChars="0" w:firstLine="40" w:firstLineChars="0"/>
      </w:pPr>
      <w:rPr>
        <w:rFonts w:hint="default"/>
      </w:rPr>
    </w:lvl>
    <w:lvl w:ilvl="2" w:tentative="0">
      <w:start w:val="1"/>
      <w:numFmt w:val="decimal"/>
      <w:isLgl/>
      <w:lvlText w:val="%1.%2.%3"/>
      <w:lvlJc w:val="left"/>
      <w:pPr>
        <w:ind w:left="1146" w:hanging="720"/>
      </w:pPr>
      <w:rPr>
        <w:rFonts w:hint="default"/>
      </w:rPr>
    </w:lvl>
    <w:lvl w:ilvl="3" w:tentative="0">
      <w:start w:val="1"/>
      <w:numFmt w:val="decimal"/>
      <w:isLgl/>
      <w:lvlText w:val="%1.%2.%3.%4"/>
      <w:lvlJc w:val="left"/>
      <w:pPr>
        <w:ind w:left="1506" w:hanging="1080"/>
      </w:pPr>
      <w:rPr>
        <w:rFonts w:hint="default"/>
      </w:rPr>
    </w:lvl>
    <w:lvl w:ilvl="4" w:tentative="0">
      <w:start w:val="1"/>
      <w:numFmt w:val="decimal"/>
      <w:isLgl/>
      <w:lvlText w:val="%1.%2.%3.%4.%5"/>
      <w:lvlJc w:val="left"/>
      <w:pPr>
        <w:ind w:left="1506" w:hanging="1080"/>
      </w:pPr>
      <w:rPr>
        <w:rFonts w:hint="default"/>
      </w:rPr>
    </w:lvl>
    <w:lvl w:ilvl="5" w:tentative="0">
      <w:start w:val="1"/>
      <w:numFmt w:val="decimal"/>
      <w:isLgl/>
      <w:lvlText w:val="%1.%2.%3.%4.%5.%6"/>
      <w:lvlJc w:val="left"/>
      <w:pPr>
        <w:ind w:left="1866" w:hanging="1440"/>
      </w:pPr>
      <w:rPr>
        <w:rFonts w:hint="default"/>
      </w:rPr>
    </w:lvl>
    <w:lvl w:ilvl="6" w:tentative="0">
      <w:start w:val="1"/>
      <w:numFmt w:val="decimal"/>
      <w:isLgl/>
      <w:lvlText w:val="%1.%2.%3.%4.%5.%6.%7"/>
      <w:lvlJc w:val="left"/>
      <w:pPr>
        <w:ind w:left="1866" w:hanging="1440"/>
      </w:pPr>
      <w:rPr>
        <w:rFonts w:hint="default"/>
      </w:rPr>
    </w:lvl>
    <w:lvl w:ilvl="7" w:tentative="0">
      <w:start w:val="1"/>
      <w:numFmt w:val="decimal"/>
      <w:isLgl/>
      <w:lvlText w:val="%1.%2.%3.%4.%5.%6.%7.%8"/>
      <w:lvlJc w:val="left"/>
      <w:pPr>
        <w:ind w:left="2226" w:hanging="1800"/>
      </w:pPr>
      <w:rPr>
        <w:rFonts w:hint="default"/>
      </w:rPr>
    </w:lvl>
    <w:lvl w:ilvl="8" w:tentative="0">
      <w:start w:val="1"/>
      <w:numFmt w:val="decimal"/>
      <w:isLgl/>
      <w:lvlText w:val="%1.%2.%3.%4.%5.%6.%7.%8.%9"/>
      <w:lvlJc w:val="left"/>
      <w:pPr>
        <w:ind w:left="2226" w:hanging="1800"/>
      </w:pPr>
      <w:rPr>
        <w:rFonts w:hint="default"/>
      </w:rPr>
    </w:lvl>
  </w:abstractNum>
  <w:abstractNum w:abstractNumId="3">
    <w:nsid w:val="F50E571D"/>
    <w:multiLevelType w:val="multilevel"/>
    <w:tmpl w:val="F50E571D"/>
    <w:lvl w:ilvl="0" w:tentative="0">
      <w:start w:val="1"/>
      <w:numFmt w:val="decimal"/>
      <w:lvlText w:val="1.%1"/>
      <w:lvlJc w:val="left"/>
      <w:pPr>
        <w:ind w:left="0" w:leftChars="0" w:firstLine="40" w:firstLineChars="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FFFFFFFB"/>
    <w:multiLevelType w:val="multilevel"/>
    <w:tmpl w:val="FFFFFFFB"/>
    <w:lvl w:ilvl="0" w:tentative="0">
      <w:start w:val="1"/>
      <w:numFmt w:val="decimal"/>
      <w:lvlText w:val="%1."/>
      <w:lvlJc w:val="left"/>
      <w:pPr>
        <w:tabs>
          <w:tab w:val="left" w:pos="1088"/>
        </w:tabs>
        <w:ind w:left="1088" w:hanging="1077"/>
      </w:pPr>
      <w:rPr>
        <w:rFonts w:hint="default" w:ascii="Arial" w:hAnsi="Arial" w:eastAsia="宋体"/>
        <w:b/>
        <w:i w:val="0"/>
        <w:sz w:val="24"/>
        <w:szCs w:val="24"/>
      </w:rPr>
    </w:lvl>
    <w:lvl w:ilvl="1" w:tentative="0">
      <w:start w:val="1"/>
      <w:numFmt w:val="decimal"/>
      <w:pStyle w:val="4"/>
      <w:lvlText w:val="%1.%2"/>
      <w:lvlJc w:val="left"/>
      <w:pPr>
        <w:tabs>
          <w:tab w:val="left" w:pos="1088"/>
        </w:tabs>
        <w:ind w:left="1088" w:hanging="1077"/>
      </w:pPr>
      <w:rPr>
        <w:rFonts w:hint="default" w:ascii="Arial" w:hAnsi="Arial" w:eastAsia="宋体" w:cs="Arial"/>
        <w:b/>
        <w:i w:val="0"/>
        <w:sz w:val="24"/>
        <w:szCs w:val="24"/>
      </w:rPr>
    </w:lvl>
    <w:lvl w:ilvl="2" w:tentative="0">
      <w:start w:val="1"/>
      <w:numFmt w:val="decimal"/>
      <w:pStyle w:val="5"/>
      <w:lvlText w:val="%1.%2.%3"/>
      <w:lvlJc w:val="left"/>
      <w:pPr>
        <w:tabs>
          <w:tab w:val="left" w:pos="1088"/>
        </w:tabs>
        <w:ind w:left="1088" w:hanging="1077"/>
      </w:pPr>
      <w:rPr>
        <w:rFonts w:hint="default" w:ascii="Arial" w:hAnsi="Arial" w:eastAsia="宋体" w:cs="Arial"/>
        <w:b w:val="0"/>
        <w:i w:val="0"/>
        <w:sz w:val="21"/>
        <w:szCs w:val="21"/>
      </w:rPr>
    </w:lvl>
    <w:lvl w:ilvl="3" w:tentative="0">
      <w:start w:val="1"/>
      <w:numFmt w:val="decimal"/>
      <w:pStyle w:val="6"/>
      <w:lvlText w:val="%1.%2.%3.%4."/>
      <w:lvlJc w:val="left"/>
      <w:pPr>
        <w:tabs>
          <w:tab w:val="left" w:pos="862"/>
        </w:tabs>
        <w:ind w:left="862" w:hanging="851"/>
      </w:pPr>
      <w:rPr>
        <w:rFonts w:hint="eastAsia"/>
      </w:rPr>
    </w:lvl>
    <w:lvl w:ilvl="4" w:tentative="0">
      <w:start w:val="1"/>
      <w:numFmt w:val="decimal"/>
      <w:lvlText w:val="%1.%2.%3.%4.%5."/>
      <w:lvlJc w:val="left"/>
      <w:pPr>
        <w:tabs>
          <w:tab w:val="left" w:pos="1003"/>
        </w:tabs>
        <w:ind w:left="1003" w:hanging="992"/>
      </w:pPr>
      <w:rPr>
        <w:rFonts w:hint="eastAsia"/>
      </w:rPr>
    </w:lvl>
    <w:lvl w:ilvl="5" w:tentative="0">
      <w:start w:val="1"/>
      <w:numFmt w:val="decimal"/>
      <w:lvlText w:val="%1.%2.%3.%4.%5.%6."/>
      <w:lvlJc w:val="left"/>
      <w:pPr>
        <w:tabs>
          <w:tab w:val="left" w:pos="1145"/>
        </w:tabs>
        <w:ind w:left="1145" w:hanging="1134"/>
      </w:pPr>
      <w:rPr>
        <w:rFonts w:hint="eastAsia"/>
      </w:rPr>
    </w:lvl>
    <w:lvl w:ilvl="6" w:tentative="0">
      <w:start w:val="1"/>
      <w:numFmt w:val="decimal"/>
      <w:lvlText w:val="%1.%2.%3.%4.%5.%6.%7."/>
      <w:lvlJc w:val="left"/>
      <w:pPr>
        <w:tabs>
          <w:tab w:val="left" w:pos="1287"/>
        </w:tabs>
        <w:ind w:left="1287" w:hanging="1276"/>
      </w:pPr>
      <w:rPr>
        <w:rFonts w:hint="eastAsia"/>
      </w:rPr>
    </w:lvl>
    <w:lvl w:ilvl="7" w:tentative="0">
      <w:start w:val="1"/>
      <w:numFmt w:val="decimal"/>
      <w:lvlText w:val="%1.%2.%3.%4.%5.%6.%7.%8."/>
      <w:lvlJc w:val="left"/>
      <w:pPr>
        <w:tabs>
          <w:tab w:val="left" w:pos="1429"/>
        </w:tabs>
        <w:ind w:left="1429" w:hanging="1418"/>
      </w:pPr>
      <w:rPr>
        <w:rFonts w:hint="eastAsia"/>
      </w:rPr>
    </w:lvl>
    <w:lvl w:ilvl="8" w:tentative="0">
      <w:start w:val="1"/>
      <w:numFmt w:val="decimal"/>
      <w:lvlText w:val="%1.%2.%3.%4.%5.%6.%7.%8.%9."/>
      <w:lvlJc w:val="left"/>
      <w:pPr>
        <w:tabs>
          <w:tab w:val="left" w:pos="1570"/>
        </w:tabs>
        <w:ind w:left="1570" w:hanging="1559"/>
      </w:pPr>
      <w:rPr>
        <w:rFonts w:hint="eastAsia"/>
      </w:rPr>
    </w:lvl>
  </w:abstractNum>
  <w:abstractNum w:abstractNumId="5">
    <w:nsid w:val="20674E8A"/>
    <w:multiLevelType w:val="multilevel"/>
    <w:tmpl w:val="20674E8A"/>
    <w:lvl w:ilvl="0" w:tentative="0">
      <w:start w:val="1"/>
      <w:numFmt w:val="decimal"/>
      <w:lvlText w:val="3.%1"/>
      <w:lvlJc w:val="left"/>
      <w:pPr>
        <w:ind w:left="1264"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EAD3EA1"/>
    <w:multiLevelType w:val="multilevel"/>
    <w:tmpl w:val="3EAD3EA1"/>
    <w:lvl w:ilvl="0" w:tentative="0">
      <w:start w:val="1"/>
      <w:numFmt w:val="decimal"/>
      <w:pStyle w:val="3"/>
      <w:lvlText w:val="%1."/>
      <w:lvlJc w:val="left"/>
      <w:pPr>
        <w:tabs>
          <w:tab w:val="left" w:pos="1077"/>
        </w:tabs>
        <w:ind w:left="1077" w:hanging="1077"/>
      </w:pPr>
      <w:rPr>
        <w:rFonts w:hint="eastAsia" w:ascii="仿宋_GB2312" w:hAnsi="Arial" w:eastAsia="仿宋_GB2312"/>
        <w:b/>
        <w:i w:val="0"/>
        <w:sz w:val="24"/>
        <w:szCs w:val="24"/>
      </w:rPr>
    </w:lvl>
    <w:lvl w:ilvl="1" w:tentative="0">
      <w:start w:val="1"/>
      <w:numFmt w:val="decimal"/>
      <w:lvlText w:val="%2."/>
      <w:lvlJc w:val="center"/>
      <w:pPr>
        <w:tabs>
          <w:tab w:val="left" w:pos="1077"/>
        </w:tabs>
        <w:ind w:left="1077" w:hanging="1077"/>
      </w:pPr>
      <w:rPr>
        <w:rFonts w:hint="eastAsia"/>
        <w:b w:val="0"/>
        <w:i w:val="0"/>
        <w:sz w:val="24"/>
        <w:szCs w:val="24"/>
      </w:rPr>
    </w:lvl>
    <w:lvl w:ilvl="2" w:tentative="0">
      <w:start w:val="1"/>
      <w:numFmt w:val="decimal"/>
      <w:lvlText w:val="%1.%2.%3"/>
      <w:lvlJc w:val="left"/>
      <w:pPr>
        <w:tabs>
          <w:tab w:val="left" w:pos="1077"/>
        </w:tabs>
        <w:ind w:left="1077" w:hanging="1077"/>
      </w:pPr>
      <w:rPr>
        <w:rFonts w:hint="default" w:ascii="Arial" w:hAnsi="Arial" w:eastAsia="宋体" w:cs="Arial"/>
        <w:b w:val="0"/>
        <w:i w:val="0"/>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4491B611"/>
    <w:multiLevelType w:val="multilevel"/>
    <w:tmpl w:val="4491B611"/>
    <w:lvl w:ilvl="0" w:tentative="0">
      <w:start w:val="1"/>
      <w:numFmt w:val="decimal"/>
      <w:lvlText w:val="%1"/>
      <w:lvlJc w:val="left"/>
      <w:pPr>
        <w:ind w:left="425" w:hanging="425"/>
      </w:pPr>
      <w:rPr>
        <w:rFonts w:hint="default"/>
      </w:rPr>
    </w:lvl>
    <w:lvl w:ilvl="1" w:tentative="0">
      <w:start w:val="1"/>
      <w:numFmt w:val="decimal"/>
      <w:lvlText w:val="%1.%2"/>
      <w:lvlJc w:val="left"/>
      <w:pPr>
        <w:ind w:left="0" w:leftChars="0" w:firstLine="40" w:firstLineChars="0"/>
      </w:pPr>
      <w:rPr>
        <w:rFonts w:hint="default"/>
      </w:rPr>
    </w:lvl>
    <w:lvl w:ilvl="2" w:tentative="0">
      <w:start w:val="1"/>
      <w:numFmt w:val="decimal"/>
      <w:lvlText w:val="%1.%2.%3"/>
      <w:lvlJc w:val="left"/>
      <w:pPr>
        <w:ind w:left="1418" w:hanging="567"/>
      </w:pPr>
      <w:rPr>
        <w:rFonts w:hint="default"/>
      </w:rPr>
    </w:lvl>
    <w:lvl w:ilvl="3" w:tentative="0">
      <w:start w:val="1"/>
      <w:numFmt w:val="decimal"/>
      <w:lvlText w:val="%1.%2.%3.%4"/>
      <w:lvlJc w:val="left"/>
      <w:pPr>
        <w:ind w:left="1984" w:hanging="708"/>
      </w:pPr>
      <w:rPr>
        <w:rFonts w:hint="default"/>
      </w:rPr>
    </w:lvl>
    <w:lvl w:ilvl="4" w:tentative="0">
      <w:start w:val="1"/>
      <w:numFmt w:val="decimal"/>
      <w:lvlText w:val="%1.%2.%3.%4.%5"/>
      <w:lvlJc w:val="left"/>
      <w:pPr>
        <w:ind w:left="2551" w:hanging="850"/>
      </w:pPr>
      <w:rPr>
        <w:rFonts w:hint="default"/>
      </w:rPr>
    </w:lvl>
    <w:lvl w:ilvl="5" w:tentative="0">
      <w:start w:val="1"/>
      <w:numFmt w:val="decimal"/>
      <w:lvlText w:val="%1.%2.%3.%4.%5.%6"/>
      <w:lvlJc w:val="left"/>
      <w:pPr>
        <w:ind w:left="3260" w:hanging="1134"/>
      </w:pPr>
      <w:rPr>
        <w:rFonts w:hint="default"/>
      </w:rPr>
    </w:lvl>
    <w:lvl w:ilvl="6" w:tentative="0">
      <w:start w:val="1"/>
      <w:numFmt w:val="decimal"/>
      <w:lvlText w:val="%1.%2.%3.%4.%5.%6.%7"/>
      <w:lvlJc w:val="left"/>
      <w:pPr>
        <w:ind w:left="3827" w:hanging="1276"/>
      </w:pPr>
      <w:rPr>
        <w:rFonts w:hint="default"/>
      </w:rPr>
    </w:lvl>
    <w:lvl w:ilvl="7" w:tentative="0">
      <w:start w:val="1"/>
      <w:numFmt w:val="decimal"/>
      <w:lvlText w:val="%1.%2.%3.%4.%5.%6.%7.%8"/>
      <w:lvlJc w:val="left"/>
      <w:pPr>
        <w:ind w:left="4394" w:hanging="1418"/>
      </w:pPr>
      <w:rPr>
        <w:rFonts w:hint="default"/>
      </w:rPr>
    </w:lvl>
    <w:lvl w:ilvl="8" w:tentative="0">
      <w:start w:val="1"/>
      <w:numFmt w:val="decimal"/>
      <w:lvlText w:val="%1.%2.%3.%4.%5.%6.%7.%8.%9"/>
      <w:lvlJc w:val="left"/>
      <w:pPr>
        <w:ind w:left="5102" w:hanging="1700"/>
      </w:pPr>
      <w:rPr>
        <w:rFonts w:hint="default"/>
      </w:rPr>
    </w:lvl>
  </w:abstractNum>
  <w:abstractNum w:abstractNumId="8">
    <w:nsid w:val="4AE32FA0"/>
    <w:multiLevelType w:val="multilevel"/>
    <w:tmpl w:val="4AE32FA0"/>
    <w:lvl w:ilvl="0" w:tentative="0">
      <w:start w:val="1"/>
      <w:numFmt w:val="decimal"/>
      <w:lvlText w:val="%1"/>
      <w:lvlJc w:val="left"/>
      <w:pPr>
        <w:tabs>
          <w:tab w:val="left" w:pos="454"/>
        </w:tabs>
        <w:ind w:left="454" w:hanging="454"/>
      </w:pPr>
      <w:rPr>
        <w:rFonts w:hint="eastAsia"/>
      </w:rPr>
    </w:lvl>
    <w:lvl w:ilvl="1" w:tentative="0">
      <w:start w:val="1"/>
      <w:numFmt w:val="decimal"/>
      <w:pStyle w:val="96"/>
      <w:lvlText w:val="%1.%2"/>
      <w:lvlJc w:val="left"/>
      <w:pPr>
        <w:tabs>
          <w:tab w:val="left" w:pos="1077"/>
        </w:tabs>
        <w:ind w:left="1077" w:hanging="623"/>
      </w:pPr>
      <w:rPr>
        <w:rFonts w:hint="eastAsia" w:ascii="宋体" w:hAnsi="宋体" w:eastAsia="宋体"/>
        <w:sz w:val="24"/>
        <w:szCs w:val="24"/>
      </w:rPr>
    </w:lvl>
    <w:lvl w:ilvl="2" w:tentative="0">
      <w:start w:val="1"/>
      <w:numFmt w:val="decimal"/>
      <w:lvlText w:val="%1.%2.%3"/>
      <w:lvlJc w:val="left"/>
      <w:pPr>
        <w:tabs>
          <w:tab w:val="left" w:pos="1928"/>
        </w:tabs>
        <w:ind w:left="1928" w:hanging="851"/>
      </w:pPr>
      <w:rPr>
        <w:rFonts w:hint="eastAsia" w:ascii="宋体" w:hAnsi="宋体" w:eastAsia="宋体"/>
        <w:sz w:val="24"/>
        <w:szCs w:val="24"/>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9">
    <w:nsid w:val="53FA5615"/>
    <w:multiLevelType w:val="multilevel"/>
    <w:tmpl w:val="53FA5615"/>
    <w:lvl w:ilvl="0" w:tentative="0">
      <w:start w:val="1"/>
      <w:numFmt w:val="chineseCountingThousand"/>
      <w:pStyle w:val="83"/>
      <w:lvlText w:val="%1、"/>
      <w:lvlJc w:val="left"/>
      <w:pPr>
        <w:ind w:left="420" w:hanging="420"/>
      </w:pPr>
      <w:rPr>
        <w:rFonts w:hint="eastAsia"/>
        <w:lang w:val="en-US"/>
      </w:rPr>
    </w:lvl>
    <w:lvl w:ilvl="1" w:tentative="0">
      <w:start w:val="1"/>
      <w:numFmt w:val="decimal"/>
      <w:lvlText w:val="%2、"/>
      <w:lvlJc w:val="left"/>
      <w:pPr>
        <w:ind w:left="810" w:hanging="39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688E5E7"/>
    <w:multiLevelType w:val="multilevel"/>
    <w:tmpl w:val="6688E5E7"/>
    <w:lvl w:ilvl="0" w:tentative="0">
      <w:start w:val="1"/>
      <w:numFmt w:val="decimal"/>
      <w:lvlText w:val="1.%1"/>
      <w:lvlJc w:val="left"/>
      <w:pPr>
        <w:ind w:left="0" w:leftChars="0" w:firstLine="40" w:firstLineChars="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68E205DB"/>
    <w:multiLevelType w:val="multilevel"/>
    <w:tmpl w:val="68E205DB"/>
    <w:lvl w:ilvl="0" w:tentative="0">
      <w:start w:val="1"/>
      <w:numFmt w:val="decimal"/>
      <w:lvlText w:val="4.%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97B5A76"/>
    <w:multiLevelType w:val="multilevel"/>
    <w:tmpl w:val="697B5A76"/>
    <w:lvl w:ilvl="0" w:tentative="0">
      <w:start w:val="1"/>
      <w:numFmt w:val="decimal"/>
      <w:lvlText w:val="%1."/>
      <w:lvlJc w:val="left"/>
      <w:pPr>
        <w:tabs>
          <w:tab w:val="left" w:pos="937"/>
        </w:tabs>
        <w:ind w:left="-84" w:firstLine="510"/>
      </w:pPr>
      <w:rPr>
        <w:rFonts w:hint="eastAsia"/>
        <w:b w:val="0"/>
        <w:i w:val="0"/>
      </w:rPr>
    </w:lvl>
    <w:lvl w:ilvl="1" w:tentative="0">
      <w:start w:val="1"/>
      <w:numFmt w:val="decimal"/>
      <w:isLgl/>
      <w:lvlText w:val="%1.%2"/>
      <w:lvlJc w:val="left"/>
      <w:pPr>
        <w:ind w:left="786" w:hanging="360"/>
      </w:pPr>
      <w:rPr>
        <w:rFonts w:hint="default"/>
      </w:rPr>
    </w:lvl>
    <w:lvl w:ilvl="2" w:tentative="0">
      <w:start w:val="1"/>
      <w:numFmt w:val="decimal"/>
      <w:isLgl/>
      <w:lvlText w:val="%1.%2.%3"/>
      <w:lvlJc w:val="left"/>
      <w:pPr>
        <w:ind w:left="1146" w:hanging="720"/>
      </w:pPr>
      <w:rPr>
        <w:rFonts w:hint="default"/>
      </w:rPr>
    </w:lvl>
    <w:lvl w:ilvl="3" w:tentative="0">
      <w:start w:val="1"/>
      <w:numFmt w:val="decimal"/>
      <w:isLgl/>
      <w:lvlText w:val="%1.%2.%3.%4"/>
      <w:lvlJc w:val="left"/>
      <w:pPr>
        <w:ind w:left="1506" w:hanging="1080"/>
      </w:pPr>
      <w:rPr>
        <w:rFonts w:hint="default"/>
      </w:rPr>
    </w:lvl>
    <w:lvl w:ilvl="4" w:tentative="0">
      <w:start w:val="1"/>
      <w:numFmt w:val="decimal"/>
      <w:isLgl/>
      <w:lvlText w:val="%1.%2.%3.%4.%5"/>
      <w:lvlJc w:val="left"/>
      <w:pPr>
        <w:ind w:left="1506" w:hanging="1080"/>
      </w:pPr>
      <w:rPr>
        <w:rFonts w:hint="default"/>
      </w:rPr>
    </w:lvl>
    <w:lvl w:ilvl="5" w:tentative="0">
      <w:start w:val="1"/>
      <w:numFmt w:val="decimal"/>
      <w:isLgl/>
      <w:lvlText w:val="%1.%2.%3.%4.%5.%6"/>
      <w:lvlJc w:val="left"/>
      <w:pPr>
        <w:ind w:left="1866" w:hanging="1440"/>
      </w:pPr>
      <w:rPr>
        <w:rFonts w:hint="default"/>
      </w:rPr>
    </w:lvl>
    <w:lvl w:ilvl="6" w:tentative="0">
      <w:start w:val="1"/>
      <w:numFmt w:val="decimal"/>
      <w:isLgl/>
      <w:lvlText w:val="%1.%2.%3.%4.%5.%6.%7"/>
      <w:lvlJc w:val="left"/>
      <w:pPr>
        <w:ind w:left="1866" w:hanging="1440"/>
      </w:pPr>
      <w:rPr>
        <w:rFonts w:hint="default"/>
      </w:rPr>
    </w:lvl>
    <w:lvl w:ilvl="7" w:tentative="0">
      <w:start w:val="1"/>
      <w:numFmt w:val="decimal"/>
      <w:isLgl/>
      <w:lvlText w:val="%1.%2.%3.%4.%5.%6.%7.%8"/>
      <w:lvlJc w:val="left"/>
      <w:pPr>
        <w:ind w:left="2226" w:hanging="1800"/>
      </w:pPr>
      <w:rPr>
        <w:rFonts w:hint="default"/>
      </w:rPr>
    </w:lvl>
    <w:lvl w:ilvl="8" w:tentative="0">
      <w:start w:val="1"/>
      <w:numFmt w:val="decimal"/>
      <w:isLgl/>
      <w:lvlText w:val="%1.%2.%3.%4.%5.%6.%7.%8.%9"/>
      <w:lvlJc w:val="left"/>
      <w:pPr>
        <w:ind w:left="2226" w:hanging="1800"/>
      </w:pPr>
      <w:rPr>
        <w:rFonts w:hint="default"/>
      </w:rPr>
    </w:lvl>
  </w:abstractNum>
  <w:abstractNum w:abstractNumId="13">
    <w:nsid w:val="73425A49"/>
    <w:multiLevelType w:val="multilevel"/>
    <w:tmpl w:val="73425A49"/>
    <w:lvl w:ilvl="0" w:tentative="0">
      <w:start w:val="1"/>
      <w:numFmt w:val="decimal"/>
      <w:lvlText w:val="附件%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CC5C7B5"/>
    <w:multiLevelType w:val="multilevel"/>
    <w:tmpl w:val="7CC5C7B5"/>
    <w:lvl w:ilvl="0" w:tentative="0">
      <w:start w:val="1"/>
      <w:numFmt w:val="decimal"/>
      <w:lvlText w:val="2.%1"/>
      <w:lvlJc w:val="left"/>
      <w:pPr>
        <w:ind w:left="0" w:leftChars="0" w:firstLine="40" w:firstLineChars="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6"/>
  </w:num>
  <w:num w:numId="2">
    <w:abstractNumId w:val="4"/>
  </w:num>
  <w:num w:numId="3">
    <w:abstractNumId w:val="9"/>
  </w:num>
  <w:num w:numId="4">
    <w:abstractNumId w:val="8"/>
  </w:num>
  <w:num w:numId="5">
    <w:abstractNumId w:val="12"/>
  </w:num>
  <w:num w:numId="6">
    <w:abstractNumId w:val="5"/>
  </w:num>
  <w:num w:numId="7">
    <w:abstractNumId w:val="11"/>
  </w:num>
  <w:num w:numId="8">
    <w:abstractNumId w:val="7"/>
  </w:num>
  <w:num w:numId="9">
    <w:abstractNumId w:val="2"/>
  </w:num>
  <w:num w:numId="10">
    <w:abstractNumId w:val="0"/>
  </w:num>
  <w:num w:numId="11">
    <w:abstractNumId w:val="10"/>
  </w:num>
  <w:num w:numId="12">
    <w:abstractNumId w:val="3"/>
  </w:num>
  <w:num w:numId="13">
    <w:abstractNumId w:val="14"/>
  </w:num>
  <w:num w:numId="14">
    <w:abstractNumId w:val="1"/>
  </w:num>
  <w:num w:numId="15">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782358086">
    <w15:presenceInfo w15:providerId="WPS Office" w15:userId="138848347431"/>
  </w15:person>
  <w15:person w15:author="Love~curry~forever">
    <w15:presenceInfo w15:providerId="WPS Office" w15:userId="68950785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trackRevisions w:val="1"/>
  <w:documentProtection w:edit="trackedChanges" w:enforcement="0"/>
  <w:defaultTabStop w:val="425"/>
  <w:displayHorizontalDrawingGridEvery w:val="1"/>
  <w:displayVerticalDrawingGridEvery w:val="1"/>
  <w:noPunctuationKerning w:val="1"/>
  <w:characterSpacingControl w:val="doNotCompress"/>
  <w:noLineBreaksAfter w:lang="zh-CN" w:val="([{·‘“〈《「『【〔〖（．［｛"/>
  <w:noLineBreaksBefore w:lang="zh-CN" w:val="!),.:;?]}¨·ˇˉ—‖’”…∶、。〃々〉》」』】〕〗！＂＇），．：；？］｀｜｝～"/>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VjYjA4Y2UwOTQyNWEwMTk3NmRhYzg1OTJjODE1ODEifQ=="/>
    <w:docVar w:name="KSO_WPS_MARK_KEY" w:val="7925618d-0578-4976-a801-3a311712b5c8"/>
  </w:docVars>
  <w:rsids>
    <w:rsidRoot w:val="007C47B9"/>
    <w:rsid w:val="00000190"/>
    <w:rsid w:val="00000A82"/>
    <w:rsid w:val="000020E5"/>
    <w:rsid w:val="00002EE2"/>
    <w:rsid w:val="00003A88"/>
    <w:rsid w:val="000042BB"/>
    <w:rsid w:val="000045D6"/>
    <w:rsid w:val="000056C8"/>
    <w:rsid w:val="00011579"/>
    <w:rsid w:val="0001230B"/>
    <w:rsid w:val="00012840"/>
    <w:rsid w:val="00013565"/>
    <w:rsid w:val="0002072C"/>
    <w:rsid w:val="00020802"/>
    <w:rsid w:val="00020AE8"/>
    <w:rsid w:val="00020B10"/>
    <w:rsid w:val="00020DE7"/>
    <w:rsid w:val="0002129E"/>
    <w:rsid w:val="00021F24"/>
    <w:rsid w:val="000229D7"/>
    <w:rsid w:val="00022A47"/>
    <w:rsid w:val="0002427F"/>
    <w:rsid w:val="00024304"/>
    <w:rsid w:val="000243E1"/>
    <w:rsid w:val="00025FF0"/>
    <w:rsid w:val="00026298"/>
    <w:rsid w:val="00027005"/>
    <w:rsid w:val="000329FC"/>
    <w:rsid w:val="00033501"/>
    <w:rsid w:val="00033A99"/>
    <w:rsid w:val="00034C4B"/>
    <w:rsid w:val="0003555C"/>
    <w:rsid w:val="000364CF"/>
    <w:rsid w:val="00042D71"/>
    <w:rsid w:val="00043B22"/>
    <w:rsid w:val="00043DFD"/>
    <w:rsid w:val="00045D16"/>
    <w:rsid w:val="000471F0"/>
    <w:rsid w:val="00047927"/>
    <w:rsid w:val="00047FE5"/>
    <w:rsid w:val="0005088B"/>
    <w:rsid w:val="00050CA9"/>
    <w:rsid w:val="00051B90"/>
    <w:rsid w:val="000528A5"/>
    <w:rsid w:val="000533CF"/>
    <w:rsid w:val="0005481F"/>
    <w:rsid w:val="000548F5"/>
    <w:rsid w:val="00054AFB"/>
    <w:rsid w:val="00054E1B"/>
    <w:rsid w:val="0005685D"/>
    <w:rsid w:val="000577C2"/>
    <w:rsid w:val="000601BC"/>
    <w:rsid w:val="000601DB"/>
    <w:rsid w:val="000608F7"/>
    <w:rsid w:val="00060DC2"/>
    <w:rsid w:val="000618FA"/>
    <w:rsid w:val="0006279A"/>
    <w:rsid w:val="00063A84"/>
    <w:rsid w:val="00064C40"/>
    <w:rsid w:val="00067DA4"/>
    <w:rsid w:val="00067E93"/>
    <w:rsid w:val="00067F80"/>
    <w:rsid w:val="00071751"/>
    <w:rsid w:val="000727D3"/>
    <w:rsid w:val="000733C4"/>
    <w:rsid w:val="00073C12"/>
    <w:rsid w:val="000743B8"/>
    <w:rsid w:val="00077815"/>
    <w:rsid w:val="00081766"/>
    <w:rsid w:val="00082D17"/>
    <w:rsid w:val="00084314"/>
    <w:rsid w:val="00085BD2"/>
    <w:rsid w:val="00090630"/>
    <w:rsid w:val="00090FD6"/>
    <w:rsid w:val="000925C8"/>
    <w:rsid w:val="000934D0"/>
    <w:rsid w:val="0009425A"/>
    <w:rsid w:val="0009426B"/>
    <w:rsid w:val="000A06D6"/>
    <w:rsid w:val="000A3239"/>
    <w:rsid w:val="000A49EC"/>
    <w:rsid w:val="000A5473"/>
    <w:rsid w:val="000B04E6"/>
    <w:rsid w:val="000B0E52"/>
    <w:rsid w:val="000B4082"/>
    <w:rsid w:val="000B6735"/>
    <w:rsid w:val="000B6EC8"/>
    <w:rsid w:val="000B6FE2"/>
    <w:rsid w:val="000B789F"/>
    <w:rsid w:val="000B7BDD"/>
    <w:rsid w:val="000C002E"/>
    <w:rsid w:val="000C2844"/>
    <w:rsid w:val="000C328E"/>
    <w:rsid w:val="000C3303"/>
    <w:rsid w:val="000C4643"/>
    <w:rsid w:val="000C5D84"/>
    <w:rsid w:val="000C5F36"/>
    <w:rsid w:val="000C68C4"/>
    <w:rsid w:val="000C7465"/>
    <w:rsid w:val="000C7927"/>
    <w:rsid w:val="000C792B"/>
    <w:rsid w:val="000D2E90"/>
    <w:rsid w:val="000D3845"/>
    <w:rsid w:val="000D43DF"/>
    <w:rsid w:val="000D4B98"/>
    <w:rsid w:val="000D635A"/>
    <w:rsid w:val="000D65F1"/>
    <w:rsid w:val="000D678D"/>
    <w:rsid w:val="000D6949"/>
    <w:rsid w:val="000D799B"/>
    <w:rsid w:val="000E5B74"/>
    <w:rsid w:val="000E5F8F"/>
    <w:rsid w:val="000E6B3F"/>
    <w:rsid w:val="000E7693"/>
    <w:rsid w:val="000E76C4"/>
    <w:rsid w:val="000E7B38"/>
    <w:rsid w:val="000F06AB"/>
    <w:rsid w:val="000F07EA"/>
    <w:rsid w:val="000F0971"/>
    <w:rsid w:val="000F209C"/>
    <w:rsid w:val="000F24B1"/>
    <w:rsid w:val="000F257F"/>
    <w:rsid w:val="000F6DFE"/>
    <w:rsid w:val="000F721D"/>
    <w:rsid w:val="0010000C"/>
    <w:rsid w:val="00101062"/>
    <w:rsid w:val="001016B8"/>
    <w:rsid w:val="00101960"/>
    <w:rsid w:val="00102DD1"/>
    <w:rsid w:val="001041EA"/>
    <w:rsid w:val="00106679"/>
    <w:rsid w:val="00107243"/>
    <w:rsid w:val="00107930"/>
    <w:rsid w:val="001079C6"/>
    <w:rsid w:val="00107BA4"/>
    <w:rsid w:val="00110D4C"/>
    <w:rsid w:val="00112C3E"/>
    <w:rsid w:val="00114015"/>
    <w:rsid w:val="001179A2"/>
    <w:rsid w:val="00117BF7"/>
    <w:rsid w:val="00120305"/>
    <w:rsid w:val="001208F7"/>
    <w:rsid w:val="00122989"/>
    <w:rsid w:val="001236EA"/>
    <w:rsid w:val="00125628"/>
    <w:rsid w:val="001268ED"/>
    <w:rsid w:val="00126A4E"/>
    <w:rsid w:val="00126C42"/>
    <w:rsid w:val="0012756B"/>
    <w:rsid w:val="00130225"/>
    <w:rsid w:val="00130BAA"/>
    <w:rsid w:val="00134728"/>
    <w:rsid w:val="001355B1"/>
    <w:rsid w:val="00137559"/>
    <w:rsid w:val="00140150"/>
    <w:rsid w:val="00140781"/>
    <w:rsid w:val="0014113D"/>
    <w:rsid w:val="00141B76"/>
    <w:rsid w:val="001429D2"/>
    <w:rsid w:val="00142A12"/>
    <w:rsid w:val="00143420"/>
    <w:rsid w:val="00144702"/>
    <w:rsid w:val="00145C07"/>
    <w:rsid w:val="00146452"/>
    <w:rsid w:val="0014679E"/>
    <w:rsid w:val="00147D6C"/>
    <w:rsid w:val="00147E87"/>
    <w:rsid w:val="0015071A"/>
    <w:rsid w:val="00150D9D"/>
    <w:rsid w:val="001512BA"/>
    <w:rsid w:val="00151377"/>
    <w:rsid w:val="001523ED"/>
    <w:rsid w:val="001527A4"/>
    <w:rsid w:val="0015495F"/>
    <w:rsid w:val="00155697"/>
    <w:rsid w:val="0016238B"/>
    <w:rsid w:val="001640F6"/>
    <w:rsid w:val="00164DDB"/>
    <w:rsid w:val="001650C1"/>
    <w:rsid w:val="001656C3"/>
    <w:rsid w:val="00166172"/>
    <w:rsid w:val="00167644"/>
    <w:rsid w:val="00167946"/>
    <w:rsid w:val="00170D1E"/>
    <w:rsid w:val="001716CB"/>
    <w:rsid w:val="00171FD6"/>
    <w:rsid w:val="001728B4"/>
    <w:rsid w:val="00172C8B"/>
    <w:rsid w:val="00173A07"/>
    <w:rsid w:val="001749BF"/>
    <w:rsid w:val="00174FD5"/>
    <w:rsid w:val="00175082"/>
    <w:rsid w:val="00175AF2"/>
    <w:rsid w:val="00177BD9"/>
    <w:rsid w:val="001808A2"/>
    <w:rsid w:val="00180B95"/>
    <w:rsid w:val="0018106B"/>
    <w:rsid w:val="0018264A"/>
    <w:rsid w:val="00182BAD"/>
    <w:rsid w:val="0018360D"/>
    <w:rsid w:val="001837E8"/>
    <w:rsid w:val="00185298"/>
    <w:rsid w:val="001866D4"/>
    <w:rsid w:val="001866FE"/>
    <w:rsid w:val="001873D1"/>
    <w:rsid w:val="00187DF1"/>
    <w:rsid w:val="001932F6"/>
    <w:rsid w:val="0019334C"/>
    <w:rsid w:val="001952DD"/>
    <w:rsid w:val="00195E28"/>
    <w:rsid w:val="001960D2"/>
    <w:rsid w:val="00196263"/>
    <w:rsid w:val="00196855"/>
    <w:rsid w:val="001A0268"/>
    <w:rsid w:val="001A187A"/>
    <w:rsid w:val="001A2455"/>
    <w:rsid w:val="001A3E8E"/>
    <w:rsid w:val="001A4075"/>
    <w:rsid w:val="001A41BF"/>
    <w:rsid w:val="001A5170"/>
    <w:rsid w:val="001A59C3"/>
    <w:rsid w:val="001A60C0"/>
    <w:rsid w:val="001A6917"/>
    <w:rsid w:val="001A6F48"/>
    <w:rsid w:val="001A7190"/>
    <w:rsid w:val="001A7915"/>
    <w:rsid w:val="001B1441"/>
    <w:rsid w:val="001B3588"/>
    <w:rsid w:val="001B393A"/>
    <w:rsid w:val="001B56ED"/>
    <w:rsid w:val="001B5E3B"/>
    <w:rsid w:val="001B6005"/>
    <w:rsid w:val="001B66E0"/>
    <w:rsid w:val="001B6FE1"/>
    <w:rsid w:val="001B701C"/>
    <w:rsid w:val="001B70BC"/>
    <w:rsid w:val="001C02E3"/>
    <w:rsid w:val="001C0807"/>
    <w:rsid w:val="001C1066"/>
    <w:rsid w:val="001C50D1"/>
    <w:rsid w:val="001C6E89"/>
    <w:rsid w:val="001C6FDB"/>
    <w:rsid w:val="001D392B"/>
    <w:rsid w:val="001D3BF5"/>
    <w:rsid w:val="001D5EC6"/>
    <w:rsid w:val="001D70EC"/>
    <w:rsid w:val="001D7520"/>
    <w:rsid w:val="001D7705"/>
    <w:rsid w:val="001E202B"/>
    <w:rsid w:val="001E306E"/>
    <w:rsid w:val="001E6C74"/>
    <w:rsid w:val="001E7396"/>
    <w:rsid w:val="001E7C82"/>
    <w:rsid w:val="001F0CE6"/>
    <w:rsid w:val="001F0F66"/>
    <w:rsid w:val="001F2DAC"/>
    <w:rsid w:val="001F2F85"/>
    <w:rsid w:val="001F350C"/>
    <w:rsid w:val="001F3F40"/>
    <w:rsid w:val="001F69D2"/>
    <w:rsid w:val="001F6DEF"/>
    <w:rsid w:val="001F75E8"/>
    <w:rsid w:val="002017E5"/>
    <w:rsid w:val="0020201B"/>
    <w:rsid w:val="0020319F"/>
    <w:rsid w:val="00204086"/>
    <w:rsid w:val="0020472B"/>
    <w:rsid w:val="00204ABD"/>
    <w:rsid w:val="00204B2F"/>
    <w:rsid w:val="00205B6B"/>
    <w:rsid w:val="0020631B"/>
    <w:rsid w:val="002066B1"/>
    <w:rsid w:val="00212704"/>
    <w:rsid w:val="0021477A"/>
    <w:rsid w:val="00216E94"/>
    <w:rsid w:val="002214AD"/>
    <w:rsid w:val="002219AB"/>
    <w:rsid w:val="00221DE2"/>
    <w:rsid w:val="002245EA"/>
    <w:rsid w:val="00224C93"/>
    <w:rsid w:val="00224DCD"/>
    <w:rsid w:val="00224DCE"/>
    <w:rsid w:val="00224EFA"/>
    <w:rsid w:val="00225667"/>
    <w:rsid w:val="00225DB3"/>
    <w:rsid w:val="002266AD"/>
    <w:rsid w:val="00226D3E"/>
    <w:rsid w:val="0022771C"/>
    <w:rsid w:val="00230978"/>
    <w:rsid w:val="00231D3E"/>
    <w:rsid w:val="002328B0"/>
    <w:rsid w:val="00234B41"/>
    <w:rsid w:val="00236927"/>
    <w:rsid w:val="00236B6D"/>
    <w:rsid w:val="00240AD4"/>
    <w:rsid w:val="00240D52"/>
    <w:rsid w:val="00241365"/>
    <w:rsid w:val="00242BD3"/>
    <w:rsid w:val="002430B1"/>
    <w:rsid w:val="00244C07"/>
    <w:rsid w:val="0024647F"/>
    <w:rsid w:val="00246E09"/>
    <w:rsid w:val="00250414"/>
    <w:rsid w:val="0025042B"/>
    <w:rsid w:val="00250C2D"/>
    <w:rsid w:val="00250C4A"/>
    <w:rsid w:val="00250ED6"/>
    <w:rsid w:val="0025147E"/>
    <w:rsid w:val="00251E00"/>
    <w:rsid w:val="0025535D"/>
    <w:rsid w:val="00255EBC"/>
    <w:rsid w:val="00256760"/>
    <w:rsid w:val="00260D88"/>
    <w:rsid w:val="00260F16"/>
    <w:rsid w:val="00261839"/>
    <w:rsid w:val="00261F18"/>
    <w:rsid w:val="00265BE6"/>
    <w:rsid w:val="00265C67"/>
    <w:rsid w:val="00267AD9"/>
    <w:rsid w:val="00272234"/>
    <w:rsid w:val="002738C4"/>
    <w:rsid w:val="002743E3"/>
    <w:rsid w:val="00274C85"/>
    <w:rsid w:val="0027686C"/>
    <w:rsid w:val="002808B0"/>
    <w:rsid w:val="002808F8"/>
    <w:rsid w:val="00281078"/>
    <w:rsid w:val="00282C7E"/>
    <w:rsid w:val="002835E4"/>
    <w:rsid w:val="00284DE3"/>
    <w:rsid w:val="002851F3"/>
    <w:rsid w:val="002859D2"/>
    <w:rsid w:val="002866A7"/>
    <w:rsid w:val="002907D7"/>
    <w:rsid w:val="00290BDF"/>
    <w:rsid w:val="00291C9E"/>
    <w:rsid w:val="002925AA"/>
    <w:rsid w:val="002931D0"/>
    <w:rsid w:val="00294BB6"/>
    <w:rsid w:val="00294C5E"/>
    <w:rsid w:val="00295A6E"/>
    <w:rsid w:val="002962F2"/>
    <w:rsid w:val="00296D45"/>
    <w:rsid w:val="0029715F"/>
    <w:rsid w:val="002972E3"/>
    <w:rsid w:val="002A170F"/>
    <w:rsid w:val="002A273F"/>
    <w:rsid w:val="002A287A"/>
    <w:rsid w:val="002A2C0D"/>
    <w:rsid w:val="002A70F9"/>
    <w:rsid w:val="002A73FD"/>
    <w:rsid w:val="002B0628"/>
    <w:rsid w:val="002B111B"/>
    <w:rsid w:val="002B2990"/>
    <w:rsid w:val="002B40A5"/>
    <w:rsid w:val="002B4D73"/>
    <w:rsid w:val="002B5D30"/>
    <w:rsid w:val="002B62D1"/>
    <w:rsid w:val="002B6C63"/>
    <w:rsid w:val="002B6D38"/>
    <w:rsid w:val="002B7E99"/>
    <w:rsid w:val="002C02C1"/>
    <w:rsid w:val="002C12A0"/>
    <w:rsid w:val="002C1D10"/>
    <w:rsid w:val="002C1EEE"/>
    <w:rsid w:val="002C5132"/>
    <w:rsid w:val="002C5133"/>
    <w:rsid w:val="002C728E"/>
    <w:rsid w:val="002D11C0"/>
    <w:rsid w:val="002D1322"/>
    <w:rsid w:val="002D188B"/>
    <w:rsid w:val="002D36ED"/>
    <w:rsid w:val="002D3B4F"/>
    <w:rsid w:val="002D3CF7"/>
    <w:rsid w:val="002D5125"/>
    <w:rsid w:val="002D52E2"/>
    <w:rsid w:val="002D67C0"/>
    <w:rsid w:val="002E0DDC"/>
    <w:rsid w:val="002E3437"/>
    <w:rsid w:val="002E4F68"/>
    <w:rsid w:val="002E5B73"/>
    <w:rsid w:val="002E5DC4"/>
    <w:rsid w:val="002E5E3C"/>
    <w:rsid w:val="002E5E5F"/>
    <w:rsid w:val="002E63C0"/>
    <w:rsid w:val="002E7542"/>
    <w:rsid w:val="002E7F1A"/>
    <w:rsid w:val="002F0AEA"/>
    <w:rsid w:val="002F2036"/>
    <w:rsid w:val="002F2AD0"/>
    <w:rsid w:val="002F42A2"/>
    <w:rsid w:val="002F465D"/>
    <w:rsid w:val="002F507D"/>
    <w:rsid w:val="002F5485"/>
    <w:rsid w:val="002F6248"/>
    <w:rsid w:val="002F6F24"/>
    <w:rsid w:val="002F7375"/>
    <w:rsid w:val="003002EF"/>
    <w:rsid w:val="0030073D"/>
    <w:rsid w:val="00300915"/>
    <w:rsid w:val="003009BB"/>
    <w:rsid w:val="00300BBD"/>
    <w:rsid w:val="00300E02"/>
    <w:rsid w:val="00303700"/>
    <w:rsid w:val="003067C8"/>
    <w:rsid w:val="00306E9E"/>
    <w:rsid w:val="00307685"/>
    <w:rsid w:val="00310A27"/>
    <w:rsid w:val="00310F4E"/>
    <w:rsid w:val="00312449"/>
    <w:rsid w:val="00312829"/>
    <w:rsid w:val="0031317C"/>
    <w:rsid w:val="00313BDC"/>
    <w:rsid w:val="00314472"/>
    <w:rsid w:val="003149EC"/>
    <w:rsid w:val="003162A6"/>
    <w:rsid w:val="00316EEB"/>
    <w:rsid w:val="00316EF8"/>
    <w:rsid w:val="003206E5"/>
    <w:rsid w:val="00322231"/>
    <w:rsid w:val="00322471"/>
    <w:rsid w:val="0032379C"/>
    <w:rsid w:val="003243A9"/>
    <w:rsid w:val="003249CB"/>
    <w:rsid w:val="00324B0F"/>
    <w:rsid w:val="00324BE8"/>
    <w:rsid w:val="00325CDE"/>
    <w:rsid w:val="003268C3"/>
    <w:rsid w:val="003307EC"/>
    <w:rsid w:val="00330A3A"/>
    <w:rsid w:val="00330F5A"/>
    <w:rsid w:val="00332782"/>
    <w:rsid w:val="00334453"/>
    <w:rsid w:val="0033447C"/>
    <w:rsid w:val="003356C0"/>
    <w:rsid w:val="0034039A"/>
    <w:rsid w:val="0034043B"/>
    <w:rsid w:val="00340608"/>
    <w:rsid w:val="003434DD"/>
    <w:rsid w:val="0034358F"/>
    <w:rsid w:val="00344EBF"/>
    <w:rsid w:val="00345FBC"/>
    <w:rsid w:val="00346D63"/>
    <w:rsid w:val="003501C4"/>
    <w:rsid w:val="003505F4"/>
    <w:rsid w:val="00350709"/>
    <w:rsid w:val="003516C4"/>
    <w:rsid w:val="0035216A"/>
    <w:rsid w:val="00353525"/>
    <w:rsid w:val="003544CB"/>
    <w:rsid w:val="003557F6"/>
    <w:rsid w:val="0035733B"/>
    <w:rsid w:val="0035777C"/>
    <w:rsid w:val="00360377"/>
    <w:rsid w:val="00361E9B"/>
    <w:rsid w:val="00363133"/>
    <w:rsid w:val="00363F30"/>
    <w:rsid w:val="003640A2"/>
    <w:rsid w:val="00364C01"/>
    <w:rsid w:val="00366916"/>
    <w:rsid w:val="00367C48"/>
    <w:rsid w:val="00367CBC"/>
    <w:rsid w:val="00371341"/>
    <w:rsid w:val="0037156E"/>
    <w:rsid w:val="0037160A"/>
    <w:rsid w:val="00371E35"/>
    <w:rsid w:val="00373573"/>
    <w:rsid w:val="00374593"/>
    <w:rsid w:val="003751D6"/>
    <w:rsid w:val="003760CA"/>
    <w:rsid w:val="00376BBF"/>
    <w:rsid w:val="003773B3"/>
    <w:rsid w:val="003808BE"/>
    <w:rsid w:val="003812E7"/>
    <w:rsid w:val="003814CD"/>
    <w:rsid w:val="003817D6"/>
    <w:rsid w:val="0038190B"/>
    <w:rsid w:val="0038281C"/>
    <w:rsid w:val="003834BB"/>
    <w:rsid w:val="00384777"/>
    <w:rsid w:val="00384D71"/>
    <w:rsid w:val="00386976"/>
    <w:rsid w:val="0039021B"/>
    <w:rsid w:val="003904A4"/>
    <w:rsid w:val="003907D1"/>
    <w:rsid w:val="00391A53"/>
    <w:rsid w:val="00391C99"/>
    <w:rsid w:val="0039219F"/>
    <w:rsid w:val="003936D7"/>
    <w:rsid w:val="00393BD1"/>
    <w:rsid w:val="00394133"/>
    <w:rsid w:val="00394A86"/>
    <w:rsid w:val="00396039"/>
    <w:rsid w:val="0039629A"/>
    <w:rsid w:val="003A0D7A"/>
    <w:rsid w:val="003A2391"/>
    <w:rsid w:val="003A3413"/>
    <w:rsid w:val="003A3851"/>
    <w:rsid w:val="003A3D57"/>
    <w:rsid w:val="003A3E87"/>
    <w:rsid w:val="003A4A50"/>
    <w:rsid w:val="003A5674"/>
    <w:rsid w:val="003A5ABE"/>
    <w:rsid w:val="003A72B4"/>
    <w:rsid w:val="003B03EF"/>
    <w:rsid w:val="003B0914"/>
    <w:rsid w:val="003B2F24"/>
    <w:rsid w:val="003B48A1"/>
    <w:rsid w:val="003B4E63"/>
    <w:rsid w:val="003B4FDD"/>
    <w:rsid w:val="003B6782"/>
    <w:rsid w:val="003B729B"/>
    <w:rsid w:val="003C05F8"/>
    <w:rsid w:val="003C1795"/>
    <w:rsid w:val="003C23F9"/>
    <w:rsid w:val="003C271E"/>
    <w:rsid w:val="003C2829"/>
    <w:rsid w:val="003C4843"/>
    <w:rsid w:val="003C50C1"/>
    <w:rsid w:val="003C51CB"/>
    <w:rsid w:val="003C71B3"/>
    <w:rsid w:val="003C72AB"/>
    <w:rsid w:val="003C7697"/>
    <w:rsid w:val="003C7A6C"/>
    <w:rsid w:val="003D13DD"/>
    <w:rsid w:val="003D149C"/>
    <w:rsid w:val="003D35C0"/>
    <w:rsid w:val="003D3FDD"/>
    <w:rsid w:val="003D5B8C"/>
    <w:rsid w:val="003D62A0"/>
    <w:rsid w:val="003D6420"/>
    <w:rsid w:val="003D650D"/>
    <w:rsid w:val="003D6DE6"/>
    <w:rsid w:val="003D6EE9"/>
    <w:rsid w:val="003E085D"/>
    <w:rsid w:val="003E2630"/>
    <w:rsid w:val="003E5C28"/>
    <w:rsid w:val="003E75FF"/>
    <w:rsid w:val="003E7E65"/>
    <w:rsid w:val="003F03E7"/>
    <w:rsid w:val="003F2DFB"/>
    <w:rsid w:val="003F3B93"/>
    <w:rsid w:val="003F3ED0"/>
    <w:rsid w:val="003F4671"/>
    <w:rsid w:val="003F482B"/>
    <w:rsid w:val="003F4B91"/>
    <w:rsid w:val="003F696C"/>
    <w:rsid w:val="003F7A96"/>
    <w:rsid w:val="00400276"/>
    <w:rsid w:val="00404148"/>
    <w:rsid w:val="00406B4C"/>
    <w:rsid w:val="00407140"/>
    <w:rsid w:val="004074D6"/>
    <w:rsid w:val="00407AB6"/>
    <w:rsid w:val="00411360"/>
    <w:rsid w:val="00411495"/>
    <w:rsid w:val="00411B28"/>
    <w:rsid w:val="00411D5A"/>
    <w:rsid w:val="004131A2"/>
    <w:rsid w:val="0041642C"/>
    <w:rsid w:val="00417DF6"/>
    <w:rsid w:val="004204AD"/>
    <w:rsid w:val="00420B5E"/>
    <w:rsid w:val="00421E27"/>
    <w:rsid w:val="00422C42"/>
    <w:rsid w:val="0042323E"/>
    <w:rsid w:val="00423CE6"/>
    <w:rsid w:val="00423F0E"/>
    <w:rsid w:val="00424380"/>
    <w:rsid w:val="00424D52"/>
    <w:rsid w:val="00426337"/>
    <w:rsid w:val="00426F76"/>
    <w:rsid w:val="004272CA"/>
    <w:rsid w:val="00430CD9"/>
    <w:rsid w:val="0043142B"/>
    <w:rsid w:val="00432494"/>
    <w:rsid w:val="00432D5C"/>
    <w:rsid w:val="00432F4E"/>
    <w:rsid w:val="00435329"/>
    <w:rsid w:val="00436D3E"/>
    <w:rsid w:val="00436E06"/>
    <w:rsid w:val="00436F98"/>
    <w:rsid w:val="00437468"/>
    <w:rsid w:val="00437DD8"/>
    <w:rsid w:val="004408C0"/>
    <w:rsid w:val="00440CA0"/>
    <w:rsid w:val="00441754"/>
    <w:rsid w:val="00442822"/>
    <w:rsid w:val="00442CAA"/>
    <w:rsid w:val="00443028"/>
    <w:rsid w:val="00443A5A"/>
    <w:rsid w:val="00445568"/>
    <w:rsid w:val="0044559A"/>
    <w:rsid w:val="00446A24"/>
    <w:rsid w:val="00446C5B"/>
    <w:rsid w:val="004478CD"/>
    <w:rsid w:val="00450898"/>
    <w:rsid w:val="004508F9"/>
    <w:rsid w:val="00451772"/>
    <w:rsid w:val="00452152"/>
    <w:rsid w:val="0045367F"/>
    <w:rsid w:val="00453D71"/>
    <w:rsid w:val="004557C4"/>
    <w:rsid w:val="004563AA"/>
    <w:rsid w:val="0046179B"/>
    <w:rsid w:val="00465D36"/>
    <w:rsid w:val="0046603E"/>
    <w:rsid w:val="00467BD3"/>
    <w:rsid w:val="00470281"/>
    <w:rsid w:val="004705C5"/>
    <w:rsid w:val="004705FD"/>
    <w:rsid w:val="00471237"/>
    <w:rsid w:val="0047183F"/>
    <w:rsid w:val="004723A0"/>
    <w:rsid w:val="00474A68"/>
    <w:rsid w:val="00475060"/>
    <w:rsid w:val="0047535C"/>
    <w:rsid w:val="00475C94"/>
    <w:rsid w:val="004768D0"/>
    <w:rsid w:val="0047731D"/>
    <w:rsid w:val="00480013"/>
    <w:rsid w:val="00480F32"/>
    <w:rsid w:val="004815D7"/>
    <w:rsid w:val="00481A75"/>
    <w:rsid w:val="00481CC9"/>
    <w:rsid w:val="004832CA"/>
    <w:rsid w:val="00483492"/>
    <w:rsid w:val="00485B0B"/>
    <w:rsid w:val="004861D1"/>
    <w:rsid w:val="00486265"/>
    <w:rsid w:val="00492B8C"/>
    <w:rsid w:val="00493646"/>
    <w:rsid w:val="0049436D"/>
    <w:rsid w:val="00494659"/>
    <w:rsid w:val="00494B9D"/>
    <w:rsid w:val="00494FDD"/>
    <w:rsid w:val="004958BB"/>
    <w:rsid w:val="00496DBA"/>
    <w:rsid w:val="004A0488"/>
    <w:rsid w:val="004A3220"/>
    <w:rsid w:val="004A6D68"/>
    <w:rsid w:val="004B0A68"/>
    <w:rsid w:val="004B103A"/>
    <w:rsid w:val="004B119C"/>
    <w:rsid w:val="004B11B3"/>
    <w:rsid w:val="004B1681"/>
    <w:rsid w:val="004B47E7"/>
    <w:rsid w:val="004B61C9"/>
    <w:rsid w:val="004B6310"/>
    <w:rsid w:val="004B6697"/>
    <w:rsid w:val="004B6DB0"/>
    <w:rsid w:val="004B7F17"/>
    <w:rsid w:val="004C18B1"/>
    <w:rsid w:val="004C1A68"/>
    <w:rsid w:val="004C2DB6"/>
    <w:rsid w:val="004C3BB4"/>
    <w:rsid w:val="004C6290"/>
    <w:rsid w:val="004C6513"/>
    <w:rsid w:val="004D17EC"/>
    <w:rsid w:val="004D2DB1"/>
    <w:rsid w:val="004D3748"/>
    <w:rsid w:val="004D4571"/>
    <w:rsid w:val="004D4991"/>
    <w:rsid w:val="004D4FDD"/>
    <w:rsid w:val="004D5EE0"/>
    <w:rsid w:val="004D6C28"/>
    <w:rsid w:val="004D733E"/>
    <w:rsid w:val="004E13D0"/>
    <w:rsid w:val="004E1762"/>
    <w:rsid w:val="004E2A36"/>
    <w:rsid w:val="004E2BB0"/>
    <w:rsid w:val="004E2E1B"/>
    <w:rsid w:val="004E3975"/>
    <w:rsid w:val="004E6195"/>
    <w:rsid w:val="004E76BC"/>
    <w:rsid w:val="004F0167"/>
    <w:rsid w:val="004F020A"/>
    <w:rsid w:val="004F0842"/>
    <w:rsid w:val="004F0EBE"/>
    <w:rsid w:val="004F2CEE"/>
    <w:rsid w:val="004F3519"/>
    <w:rsid w:val="004F35FA"/>
    <w:rsid w:val="004F36D1"/>
    <w:rsid w:val="004F392B"/>
    <w:rsid w:val="004F3DA3"/>
    <w:rsid w:val="004F3E98"/>
    <w:rsid w:val="004F3EAB"/>
    <w:rsid w:val="004F4763"/>
    <w:rsid w:val="004F5F57"/>
    <w:rsid w:val="005011AE"/>
    <w:rsid w:val="00501671"/>
    <w:rsid w:val="00501810"/>
    <w:rsid w:val="00501A2F"/>
    <w:rsid w:val="00501FFE"/>
    <w:rsid w:val="00504B18"/>
    <w:rsid w:val="00505BEB"/>
    <w:rsid w:val="00506534"/>
    <w:rsid w:val="005069B0"/>
    <w:rsid w:val="00507277"/>
    <w:rsid w:val="0050751E"/>
    <w:rsid w:val="00510141"/>
    <w:rsid w:val="005101CB"/>
    <w:rsid w:val="00510984"/>
    <w:rsid w:val="00510D7A"/>
    <w:rsid w:val="00510D80"/>
    <w:rsid w:val="00512654"/>
    <w:rsid w:val="00512C02"/>
    <w:rsid w:val="00515847"/>
    <w:rsid w:val="005169F9"/>
    <w:rsid w:val="00517AEC"/>
    <w:rsid w:val="00520F7A"/>
    <w:rsid w:val="00520F7D"/>
    <w:rsid w:val="0052269E"/>
    <w:rsid w:val="005230CA"/>
    <w:rsid w:val="005237F1"/>
    <w:rsid w:val="00525CAF"/>
    <w:rsid w:val="00526B5A"/>
    <w:rsid w:val="00526E63"/>
    <w:rsid w:val="00526F70"/>
    <w:rsid w:val="00527863"/>
    <w:rsid w:val="00532244"/>
    <w:rsid w:val="0053273D"/>
    <w:rsid w:val="0053278C"/>
    <w:rsid w:val="0053302B"/>
    <w:rsid w:val="0053327E"/>
    <w:rsid w:val="00533632"/>
    <w:rsid w:val="005342F0"/>
    <w:rsid w:val="00534581"/>
    <w:rsid w:val="00534A89"/>
    <w:rsid w:val="00534EC6"/>
    <w:rsid w:val="005374FD"/>
    <w:rsid w:val="00537F73"/>
    <w:rsid w:val="00537F99"/>
    <w:rsid w:val="00541E71"/>
    <w:rsid w:val="005426C8"/>
    <w:rsid w:val="00542CB6"/>
    <w:rsid w:val="005432D9"/>
    <w:rsid w:val="00544342"/>
    <w:rsid w:val="005445FD"/>
    <w:rsid w:val="005447F9"/>
    <w:rsid w:val="00546184"/>
    <w:rsid w:val="00546D13"/>
    <w:rsid w:val="00547010"/>
    <w:rsid w:val="005475ED"/>
    <w:rsid w:val="00547D96"/>
    <w:rsid w:val="00550742"/>
    <w:rsid w:val="0055130E"/>
    <w:rsid w:val="00553100"/>
    <w:rsid w:val="00553A79"/>
    <w:rsid w:val="005545C0"/>
    <w:rsid w:val="0055477A"/>
    <w:rsid w:val="00554EBD"/>
    <w:rsid w:val="00560E72"/>
    <w:rsid w:val="00561103"/>
    <w:rsid w:val="00563173"/>
    <w:rsid w:val="0056376B"/>
    <w:rsid w:val="0056395F"/>
    <w:rsid w:val="00563F60"/>
    <w:rsid w:val="00566CEA"/>
    <w:rsid w:val="00570069"/>
    <w:rsid w:val="005729D7"/>
    <w:rsid w:val="005729DB"/>
    <w:rsid w:val="00573274"/>
    <w:rsid w:val="0057357F"/>
    <w:rsid w:val="005735C8"/>
    <w:rsid w:val="00574243"/>
    <w:rsid w:val="005773AC"/>
    <w:rsid w:val="005778B7"/>
    <w:rsid w:val="00577F0C"/>
    <w:rsid w:val="0058024D"/>
    <w:rsid w:val="00580816"/>
    <w:rsid w:val="00582285"/>
    <w:rsid w:val="00582B24"/>
    <w:rsid w:val="0058308F"/>
    <w:rsid w:val="005844D3"/>
    <w:rsid w:val="005855FB"/>
    <w:rsid w:val="005856BE"/>
    <w:rsid w:val="005878BD"/>
    <w:rsid w:val="0059062A"/>
    <w:rsid w:val="005907A2"/>
    <w:rsid w:val="00591B67"/>
    <w:rsid w:val="00593C6D"/>
    <w:rsid w:val="00593D76"/>
    <w:rsid w:val="00593D9B"/>
    <w:rsid w:val="00594A6F"/>
    <w:rsid w:val="005950D0"/>
    <w:rsid w:val="0059651B"/>
    <w:rsid w:val="005975CA"/>
    <w:rsid w:val="00597D44"/>
    <w:rsid w:val="005A0478"/>
    <w:rsid w:val="005A08BF"/>
    <w:rsid w:val="005A0A38"/>
    <w:rsid w:val="005A1819"/>
    <w:rsid w:val="005A1C87"/>
    <w:rsid w:val="005A31D3"/>
    <w:rsid w:val="005A3C60"/>
    <w:rsid w:val="005A447C"/>
    <w:rsid w:val="005A5ABE"/>
    <w:rsid w:val="005A5D97"/>
    <w:rsid w:val="005A5DC5"/>
    <w:rsid w:val="005A72A7"/>
    <w:rsid w:val="005B1066"/>
    <w:rsid w:val="005B1741"/>
    <w:rsid w:val="005B1B68"/>
    <w:rsid w:val="005B2A9F"/>
    <w:rsid w:val="005B44D0"/>
    <w:rsid w:val="005B5ABA"/>
    <w:rsid w:val="005B78CE"/>
    <w:rsid w:val="005C0897"/>
    <w:rsid w:val="005C0F7B"/>
    <w:rsid w:val="005C11CB"/>
    <w:rsid w:val="005C1742"/>
    <w:rsid w:val="005C1E2E"/>
    <w:rsid w:val="005C22FF"/>
    <w:rsid w:val="005C3473"/>
    <w:rsid w:val="005C3481"/>
    <w:rsid w:val="005C34CA"/>
    <w:rsid w:val="005C3B14"/>
    <w:rsid w:val="005C3F72"/>
    <w:rsid w:val="005C4706"/>
    <w:rsid w:val="005C51A2"/>
    <w:rsid w:val="005C51B4"/>
    <w:rsid w:val="005C53C8"/>
    <w:rsid w:val="005C5EC2"/>
    <w:rsid w:val="005D2D50"/>
    <w:rsid w:val="005D44AE"/>
    <w:rsid w:val="005D468E"/>
    <w:rsid w:val="005D48CD"/>
    <w:rsid w:val="005D6F54"/>
    <w:rsid w:val="005E0DA5"/>
    <w:rsid w:val="005E0F8F"/>
    <w:rsid w:val="005E11A9"/>
    <w:rsid w:val="005E29D8"/>
    <w:rsid w:val="005E3A26"/>
    <w:rsid w:val="005E4B79"/>
    <w:rsid w:val="005E4EF7"/>
    <w:rsid w:val="005E6707"/>
    <w:rsid w:val="005E74FA"/>
    <w:rsid w:val="005E77AC"/>
    <w:rsid w:val="005F06C7"/>
    <w:rsid w:val="005F077E"/>
    <w:rsid w:val="005F125D"/>
    <w:rsid w:val="005F179E"/>
    <w:rsid w:val="005F1CE1"/>
    <w:rsid w:val="005F2CAE"/>
    <w:rsid w:val="005F5CDC"/>
    <w:rsid w:val="005F5CDD"/>
    <w:rsid w:val="005F6B71"/>
    <w:rsid w:val="005F79E8"/>
    <w:rsid w:val="00600572"/>
    <w:rsid w:val="00600C21"/>
    <w:rsid w:val="006019F9"/>
    <w:rsid w:val="00605AB1"/>
    <w:rsid w:val="006065DC"/>
    <w:rsid w:val="00606EE1"/>
    <w:rsid w:val="00606F77"/>
    <w:rsid w:val="0060762A"/>
    <w:rsid w:val="00607795"/>
    <w:rsid w:val="00611B0C"/>
    <w:rsid w:val="00611CB6"/>
    <w:rsid w:val="00612147"/>
    <w:rsid w:val="00612B2A"/>
    <w:rsid w:val="00612EA8"/>
    <w:rsid w:val="00614936"/>
    <w:rsid w:val="00614D50"/>
    <w:rsid w:val="006155C2"/>
    <w:rsid w:val="00615641"/>
    <w:rsid w:val="00615964"/>
    <w:rsid w:val="00615ADB"/>
    <w:rsid w:val="00615B82"/>
    <w:rsid w:val="006168E8"/>
    <w:rsid w:val="00620C6E"/>
    <w:rsid w:val="00621F64"/>
    <w:rsid w:val="00622303"/>
    <w:rsid w:val="00622384"/>
    <w:rsid w:val="006226F0"/>
    <w:rsid w:val="00622B11"/>
    <w:rsid w:val="006238DC"/>
    <w:rsid w:val="00623E3E"/>
    <w:rsid w:val="0062419F"/>
    <w:rsid w:val="00624327"/>
    <w:rsid w:val="0062573C"/>
    <w:rsid w:val="00625A6B"/>
    <w:rsid w:val="0062607F"/>
    <w:rsid w:val="00630A32"/>
    <w:rsid w:val="0063122D"/>
    <w:rsid w:val="006314EC"/>
    <w:rsid w:val="00631D0C"/>
    <w:rsid w:val="00633ED7"/>
    <w:rsid w:val="006346B7"/>
    <w:rsid w:val="00635053"/>
    <w:rsid w:val="00635E57"/>
    <w:rsid w:val="00635FC7"/>
    <w:rsid w:val="0063616A"/>
    <w:rsid w:val="006369B2"/>
    <w:rsid w:val="00642972"/>
    <w:rsid w:val="006439EF"/>
    <w:rsid w:val="00644602"/>
    <w:rsid w:val="006446D3"/>
    <w:rsid w:val="0064545F"/>
    <w:rsid w:val="00645C5C"/>
    <w:rsid w:val="00646388"/>
    <w:rsid w:val="00646411"/>
    <w:rsid w:val="006471A1"/>
    <w:rsid w:val="00647857"/>
    <w:rsid w:val="006478DD"/>
    <w:rsid w:val="00651F4F"/>
    <w:rsid w:val="00652293"/>
    <w:rsid w:val="00660A8D"/>
    <w:rsid w:val="00663647"/>
    <w:rsid w:val="00667239"/>
    <w:rsid w:val="00667F35"/>
    <w:rsid w:val="00670248"/>
    <w:rsid w:val="00675831"/>
    <w:rsid w:val="00676048"/>
    <w:rsid w:val="006763B8"/>
    <w:rsid w:val="006779C6"/>
    <w:rsid w:val="00680329"/>
    <w:rsid w:val="0068160B"/>
    <w:rsid w:val="0068215B"/>
    <w:rsid w:val="00682479"/>
    <w:rsid w:val="006829AA"/>
    <w:rsid w:val="00682DC7"/>
    <w:rsid w:val="00683229"/>
    <w:rsid w:val="006841E0"/>
    <w:rsid w:val="00684327"/>
    <w:rsid w:val="0068559A"/>
    <w:rsid w:val="00687838"/>
    <w:rsid w:val="0069014A"/>
    <w:rsid w:val="00692ABE"/>
    <w:rsid w:val="00692B71"/>
    <w:rsid w:val="0069458D"/>
    <w:rsid w:val="0069469F"/>
    <w:rsid w:val="006961CD"/>
    <w:rsid w:val="00696D79"/>
    <w:rsid w:val="00696DA7"/>
    <w:rsid w:val="006970D1"/>
    <w:rsid w:val="0069735F"/>
    <w:rsid w:val="006A1070"/>
    <w:rsid w:val="006A1756"/>
    <w:rsid w:val="006A2787"/>
    <w:rsid w:val="006A3A72"/>
    <w:rsid w:val="006A5993"/>
    <w:rsid w:val="006A5E33"/>
    <w:rsid w:val="006A5EFA"/>
    <w:rsid w:val="006A6147"/>
    <w:rsid w:val="006A6A08"/>
    <w:rsid w:val="006A6B73"/>
    <w:rsid w:val="006B0EAC"/>
    <w:rsid w:val="006B1B0C"/>
    <w:rsid w:val="006B22B4"/>
    <w:rsid w:val="006B32CD"/>
    <w:rsid w:val="006B3517"/>
    <w:rsid w:val="006B3743"/>
    <w:rsid w:val="006B3E19"/>
    <w:rsid w:val="006B546A"/>
    <w:rsid w:val="006B7B06"/>
    <w:rsid w:val="006C0739"/>
    <w:rsid w:val="006C0F1D"/>
    <w:rsid w:val="006C28A2"/>
    <w:rsid w:val="006C28B0"/>
    <w:rsid w:val="006C2C20"/>
    <w:rsid w:val="006C5AF2"/>
    <w:rsid w:val="006C5B65"/>
    <w:rsid w:val="006C63FC"/>
    <w:rsid w:val="006C6616"/>
    <w:rsid w:val="006C69C1"/>
    <w:rsid w:val="006D0C1C"/>
    <w:rsid w:val="006D2E5A"/>
    <w:rsid w:val="006D3FCF"/>
    <w:rsid w:val="006D412A"/>
    <w:rsid w:val="006D4D06"/>
    <w:rsid w:val="006D7FD0"/>
    <w:rsid w:val="006E28E7"/>
    <w:rsid w:val="006E32A1"/>
    <w:rsid w:val="006E337B"/>
    <w:rsid w:val="006E3C75"/>
    <w:rsid w:val="006E46DB"/>
    <w:rsid w:val="006E4C87"/>
    <w:rsid w:val="006E4E92"/>
    <w:rsid w:val="006E50AC"/>
    <w:rsid w:val="006E571C"/>
    <w:rsid w:val="006E585D"/>
    <w:rsid w:val="006E6B0F"/>
    <w:rsid w:val="006E6C5F"/>
    <w:rsid w:val="006E6DFA"/>
    <w:rsid w:val="006E7137"/>
    <w:rsid w:val="006E74D0"/>
    <w:rsid w:val="006F1F54"/>
    <w:rsid w:val="006F290A"/>
    <w:rsid w:val="006F4198"/>
    <w:rsid w:val="006F46B0"/>
    <w:rsid w:val="006F4C65"/>
    <w:rsid w:val="006F5C58"/>
    <w:rsid w:val="006F6B2E"/>
    <w:rsid w:val="007006C6"/>
    <w:rsid w:val="007007BD"/>
    <w:rsid w:val="00700FE1"/>
    <w:rsid w:val="00701417"/>
    <w:rsid w:val="00701BD9"/>
    <w:rsid w:val="0070210E"/>
    <w:rsid w:val="00702120"/>
    <w:rsid w:val="0070416A"/>
    <w:rsid w:val="007043DE"/>
    <w:rsid w:val="00705763"/>
    <w:rsid w:val="007069E3"/>
    <w:rsid w:val="007100A8"/>
    <w:rsid w:val="0071042D"/>
    <w:rsid w:val="007109B9"/>
    <w:rsid w:val="00710E6F"/>
    <w:rsid w:val="007117F8"/>
    <w:rsid w:val="00711B0C"/>
    <w:rsid w:val="007121E3"/>
    <w:rsid w:val="007125E2"/>
    <w:rsid w:val="00712EB6"/>
    <w:rsid w:val="007131DA"/>
    <w:rsid w:val="0071441E"/>
    <w:rsid w:val="007149FB"/>
    <w:rsid w:val="00714E5F"/>
    <w:rsid w:val="00715230"/>
    <w:rsid w:val="00715B98"/>
    <w:rsid w:val="00716817"/>
    <w:rsid w:val="0071683E"/>
    <w:rsid w:val="00716AF0"/>
    <w:rsid w:val="00720A86"/>
    <w:rsid w:val="00720D01"/>
    <w:rsid w:val="00722103"/>
    <w:rsid w:val="00722AB7"/>
    <w:rsid w:val="00723036"/>
    <w:rsid w:val="00723CF3"/>
    <w:rsid w:val="00724A0A"/>
    <w:rsid w:val="0072540C"/>
    <w:rsid w:val="0072545D"/>
    <w:rsid w:val="00726180"/>
    <w:rsid w:val="0072736A"/>
    <w:rsid w:val="00730DAF"/>
    <w:rsid w:val="0073153E"/>
    <w:rsid w:val="007332D2"/>
    <w:rsid w:val="00734CC5"/>
    <w:rsid w:val="00735207"/>
    <w:rsid w:val="00735D25"/>
    <w:rsid w:val="007365EF"/>
    <w:rsid w:val="007365FF"/>
    <w:rsid w:val="00736869"/>
    <w:rsid w:val="007374E2"/>
    <w:rsid w:val="00740E5B"/>
    <w:rsid w:val="00741002"/>
    <w:rsid w:val="00743970"/>
    <w:rsid w:val="00744215"/>
    <w:rsid w:val="0074440E"/>
    <w:rsid w:val="00744F12"/>
    <w:rsid w:val="00745B0A"/>
    <w:rsid w:val="00746A6B"/>
    <w:rsid w:val="00746E61"/>
    <w:rsid w:val="00747EEA"/>
    <w:rsid w:val="00747F09"/>
    <w:rsid w:val="0075148B"/>
    <w:rsid w:val="0075297C"/>
    <w:rsid w:val="00753B6E"/>
    <w:rsid w:val="00753C0C"/>
    <w:rsid w:val="00753FD9"/>
    <w:rsid w:val="00754C5B"/>
    <w:rsid w:val="00762479"/>
    <w:rsid w:val="0076287E"/>
    <w:rsid w:val="0076297C"/>
    <w:rsid w:val="00762E20"/>
    <w:rsid w:val="007654EE"/>
    <w:rsid w:val="0076596F"/>
    <w:rsid w:val="00765FAA"/>
    <w:rsid w:val="0076625A"/>
    <w:rsid w:val="00766C48"/>
    <w:rsid w:val="007673DD"/>
    <w:rsid w:val="00771DDB"/>
    <w:rsid w:val="00772D98"/>
    <w:rsid w:val="00773EAA"/>
    <w:rsid w:val="00776361"/>
    <w:rsid w:val="007766B8"/>
    <w:rsid w:val="007774E7"/>
    <w:rsid w:val="0078185F"/>
    <w:rsid w:val="00781B5C"/>
    <w:rsid w:val="00782015"/>
    <w:rsid w:val="00783447"/>
    <w:rsid w:val="00783B79"/>
    <w:rsid w:val="007859A4"/>
    <w:rsid w:val="00785A21"/>
    <w:rsid w:val="007866E9"/>
    <w:rsid w:val="00786E0E"/>
    <w:rsid w:val="0079135A"/>
    <w:rsid w:val="00791770"/>
    <w:rsid w:val="00791F13"/>
    <w:rsid w:val="00793696"/>
    <w:rsid w:val="007945A1"/>
    <w:rsid w:val="0079511C"/>
    <w:rsid w:val="007969E2"/>
    <w:rsid w:val="00797812"/>
    <w:rsid w:val="00797CF1"/>
    <w:rsid w:val="007A0165"/>
    <w:rsid w:val="007A0371"/>
    <w:rsid w:val="007A135B"/>
    <w:rsid w:val="007A1D1F"/>
    <w:rsid w:val="007A230D"/>
    <w:rsid w:val="007A2B63"/>
    <w:rsid w:val="007A582F"/>
    <w:rsid w:val="007A5C5E"/>
    <w:rsid w:val="007A617B"/>
    <w:rsid w:val="007A61CD"/>
    <w:rsid w:val="007A75CA"/>
    <w:rsid w:val="007B0C1B"/>
    <w:rsid w:val="007B0C77"/>
    <w:rsid w:val="007B0E12"/>
    <w:rsid w:val="007B161D"/>
    <w:rsid w:val="007B3369"/>
    <w:rsid w:val="007B3B73"/>
    <w:rsid w:val="007B431E"/>
    <w:rsid w:val="007B47FE"/>
    <w:rsid w:val="007B57FC"/>
    <w:rsid w:val="007B58FB"/>
    <w:rsid w:val="007B6F40"/>
    <w:rsid w:val="007B74CC"/>
    <w:rsid w:val="007C0372"/>
    <w:rsid w:val="007C0D79"/>
    <w:rsid w:val="007C2141"/>
    <w:rsid w:val="007C25EC"/>
    <w:rsid w:val="007C25FD"/>
    <w:rsid w:val="007C330B"/>
    <w:rsid w:val="007C47B9"/>
    <w:rsid w:val="007C5437"/>
    <w:rsid w:val="007C58F4"/>
    <w:rsid w:val="007C6CA1"/>
    <w:rsid w:val="007C7468"/>
    <w:rsid w:val="007D1775"/>
    <w:rsid w:val="007D2D76"/>
    <w:rsid w:val="007D32AF"/>
    <w:rsid w:val="007D35AF"/>
    <w:rsid w:val="007D4040"/>
    <w:rsid w:val="007D5754"/>
    <w:rsid w:val="007D5AFB"/>
    <w:rsid w:val="007D5F2D"/>
    <w:rsid w:val="007D6598"/>
    <w:rsid w:val="007D68EA"/>
    <w:rsid w:val="007D75D4"/>
    <w:rsid w:val="007E0CB7"/>
    <w:rsid w:val="007E1557"/>
    <w:rsid w:val="007E1B4E"/>
    <w:rsid w:val="007E2447"/>
    <w:rsid w:val="007E322A"/>
    <w:rsid w:val="007E3594"/>
    <w:rsid w:val="007E3690"/>
    <w:rsid w:val="007E387D"/>
    <w:rsid w:val="007E45F0"/>
    <w:rsid w:val="007E5A39"/>
    <w:rsid w:val="007E6514"/>
    <w:rsid w:val="007E6FA6"/>
    <w:rsid w:val="007E73C7"/>
    <w:rsid w:val="007F1F1A"/>
    <w:rsid w:val="007F528E"/>
    <w:rsid w:val="007F558D"/>
    <w:rsid w:val="007F57FB"/>
    <w:rsid w:val="007F5917"/>
    <w:rsid w:val="007F5F9C"/>
    <w:rsid w:val="007F6562"/>
    <w:rsid w:val="0080403A"/>
    <w:rsid w:val="00804208"/>
    <w:rsid w:val="008048B8"/>
    <w:rsid w:val="00804991"/>
    <w:rsid w:val="0080549D"/>
    <w:rsid w:val="00805EA9"/>
    <w:rsid w:val="00806368"/>
    <w:rsid w:val="008066F3"/>
    <w:rsid w:val="008071DE"/>
    <w:rsid w:val="008078A2"/>
    <w:rsid w:val="00807E18"/>
    <w:rsid w:val="00807F7C"/>
    <w:rsid w:val="00807FFA"/>
    <w:rsid w:val="00811546"/>
    <w:rsid w:val="00812F1D"/>
    <w:rsid w:val="0081316C"/>
    <w:rsid w:val="008136C3"/>
    <w:rsid w:val="0081445B"/>
    <w:rsid w:val="0081572E"/>
    <w:rsid w:val="00815A8A"/>
    <w:rsid w:val="0081775F"/>
    <w:rsid w:val="008227C5"/>
    <w:rsid w:val="00823273"/>
    <w:rsid w:val="008269AB"/>
    <w:rsid w:val="00826BDE"/>
    <w:rsid w:val="00826F7C"/>
    <w:rsid w:val="00827A6A"/>
    <w:rsid w:val="00827D70"/>
    <w:rsid w:val="008309A7"/>
    <w:rsid w:val="00833390"/>
    <w:rsid w:val="0083412C"/>
    <w:rsid w:val="00834CE6"/>
    <w:rsid w:val="00834E6F"/>
    <w:rsid w:val="00835045"/>
    <w:rsid w:val="008353AF"/>
    <w:rsid w:val="008379A2"/>
    <w:rsid w:val="00837AA8"/>
    <w:rsid w:val="0084029C"/>
    <w:rsid w:val="00843EFB"/>
    <w:rsid w:val="00844C8D"/>
    <w:rsid w:val="00845232"/>
    <w:rsid w:val="0084557F"/>
    <w:rsid w:val="008464A6"/>
    <w:rsid w:val="00846779"/>
    <w:rsid w:val="0084780D"/>
    <w:rsid w:val="00850F63"/>
    <w:rsid w:val="00851937"/>
    <w:rsid w:val="008532F4"/>
    <w:rsid w:val="00854009"/>
    <w:rsid w:val="008561F1"/>
    <w:rsid w:val="00861890"/>
    <w:rsid w:val="00864005"/>
    <w:rsid w:val="008664AB"/>
    <w:rsid w:val="00867552"/>
    <w:rsid w:val="00867D6F"/>
    <w:rsid w:val="008709F8"/>
    <w:rsid w:val="008713B6"/>
    <w:rsid w:val="0087202D"/>
    <w:rsid w:val="0087328C"/>
    <w:rsid w:val="0087402A"/>
    <w:rsid w:val="008747FE"/>
    <w:rsid w:val="0087536A"/>
    <w:rsid w:val="00875641"/>
    <w:rsid w:val="00880475"/>
    <w:rsid w:val="00881500"/>
    <w:rsid w:val="00882B0B"/>
    <w:rsid w:val="0088377A"/>
    <w:rsid w:val="00884E16"/>
    <w:rsid w:val="00885803"/>
    <w:rsid w:val="00886493"/>
    <w:rsid w:val="00886854"/>
    <w:rsid w:val="008868B7"/>
    <w:rsid w:val="00886B71"/>
    <w:rsid w:val="00887D4E"/>
    <w:rsid w:val="008911A2"/>
    <w:rsid w:val="00892564"/>
    <w:rsid w:val="0089324C"/>
    <w:rsid w:val="00893C09"/>
    <w:rsid w:val="0089405A"/>
    <w:rsid w:val="00894E32"/>
    <w:rsid w:val="00896A82"/>
    <w:rsid w:val="00897D26"/>
    <w:rsid w:val="008A33F8"/>
    <w:rsid w:val="008A36CD"/>
    <w:rsid w:val="008A5758"/>
    <w:rsid w:val="008A6FB1"/>
    <w:rsid w:val="008B06E8"/>
    <w:rsid w:val="008B1ACE"/>
    <w:rsid w:val="008B1D14"/>
    <w:rsid w:val="008B27B8"/>
    <w:rsid w:val="008B2A1D"/>
    <w:rsid w:val="008B3B9F"/>
    <w:rsid w:val="008B4C67"/>
    <w:rsid w:val="008B568C"/>
    <w:rsid w:val="008B5779"/>
    <w:rsid w:val="008B5B62"/>
    <w:rsid w:val="008B6C93"/>
    <w:rsid w:val="008B7836"/>
    <w:rsid w:val="008C1309"/>
    <w:rsid w:val="008C136F"/>
    <w:rsid w:val="008C1E83"/>
    <w:rsid w:val="008C205B"/>
    <w:rsid w:val="008C212E"/>
    <w:rsid w:val="008C242E"/>
    <w:rsid w:val="008C2AF3"/>
    <w:rsid w:val="008C3054"/>
    <w:rsid w:val="008C4D34"/>
    <w:rsid w:val="008C5AB9"/>
    <w:rsid w:val="008C5EE0"/>
    <w:rsid w:val="008C6545"/>
    <w:rsid w:val="008C67A5"/>
    <w:rsid w:val="008C6C16"/>
    <w:rsid w:val="008C6D25"/>
    <w:rsid w:val="008C7521"/>
    <w:rsid w:val="008D0A37"/>
    <w:rsid w:val="008D3288"/>
    <w:rsid w:val="008D5474"/>
    <w:rsid w:val="008D5ACD"/>
    <w:rsid w:val="008D5B7A"/>
    <w:rsid w:val="008D5FCC"/>
    <w:rsid w:val="008D6358"/>
    <w:rsid w:val="008D696C"/>
    <w:rsid w:val="008E136D"/>
    <w:rsid w:val="008E1736"/>
    <w:rsid w:val="008E2013"/>
    <w:rsid w:val="008E284A"/>
    <w:rsid w:val="008E3250"/>
    <w:rsid w:val="008E4E5E"/>
    <w:rsid w:val="008E61DA"/>
    <w:rsid w:val="008F1488"/>
    <w:rsid w:val="008F1CB1"/>
    <w:rsid w:val="008F351D"/>
    <w:rsid w:val="008F3910"/>
    <w:rsid w:val="008F4F9A"/>
    <w:rsid w:val="008F7977"/>
    <w:rsid w:val="008F7A62"/>
    <w:rsid w:val="008F7EFC"/>
    <w:rsid w:val="009013FD"/>
    <w:rsid w:val="0090147E"/>
    <w:rsid w:val="00901E6F"/>
    <w:rsid w:val="009020A2"/>
    <w:rsid w:val="00902781"/>
    <w:rsid w:val="00902EC0"/>
    <w:rsid w:val="0090305D"/>
    <w:rsid w:val="00905DB0"/>
    <w:rsid w:val="00906974"/>
    <w:rsid w:val="0090708C"/>
    <w:rsid w:val="009116F5"/>
    <w:rsid w:val="009123FF"/>
    <w:rsid w:val="00913602"/>
    <w:rsid w:val="00913E55"/>
    <w:rsid w:val="0091446D"/>
    <w:rsid w:val="009149CB"/>
    <w:rsid w:val="009153B5"/>
    <w:rsid w:val="00915EC8"/>
    <w:rsid w:val="009163D6"/>
    <w:rsid w:val="00916D30"/>
    <w:rsid w:val="00917DB4"/>
    <w:rsid w:val="009205F6"/>
    <w:rsid w:val="00920D35"/>
    <w:rsid w:val="00920EEA"/>
    <w:rsid w:val="009213F3"/>
    <w:rsid w:val="00921585"/>
    <w:rsid w:val="0092194A"/>
    <w:rsid w:val="009221F9"/>
    <w:rsid w:val="009225B5"/>
    <w:rsid w:val="00924095"/>
    <w:rsid w:val="009241F2"/>
    <w:rsid w:val="00924CD4"/>
    <w:rsid w:val="00925082"/>
    <w:rsid w:val="0092772F"/>
    <w:rsid w:val="00927C02"/>
    <w:rsid w:val="00927F18"/>
    <w:rsid w:val="00930AE9"/>
    <w:rsid w:val="009314CB"/>
    <w:rsid w:val="009318B2"/>
    <w:rsid w:val="00931E30"/>
    <w:rsid w:val="00933E8A"/>
    <w:rsid w:val="009341D9"/>
    <w:rsid w:val="00935027"/>
    <w:rsid w:val="009366BA"/>
    <w:rsid w:val="00936EE4"/>
    <w:rsid w:val="00937C71"/>
    <w:rsid w:val="00937DD4"/>
    <w:rsid w:val="009409F4"/>
    <w:rsid w:val="009412BF"/>
    <w:rsid w:val="009414F3"/>
    <w:rsid w:val="0094197B"/>
    <w:rsid w:val="0094201B"/>
    <w:rsid w:val="0094204F"/>
    <w:rsid w:val="00942C41"/>
    <w:rsid w:val="00943BE3"/>
    <w:rsid w:val="00944D98"/>
    <w:rsid w:val="0094533B"/>
    <w:rsid w:val="00946D76"/>
    <w:rsid w:val="0094766F"/>
    <w:rsid w:val="00950AD3"/>
    <w:rsid w:val="0095159E"/>
    <w:rsid w:val="009522DD"/>
    <w:rsid w:val="00954B59"/>
    <w:rsid w:val="009553E9"/>
    <w:rsid w:val="00955D3B"/>
    <w:rsid w:val="0095635C"/>
    <w:rsid w:val="009565EB"/>
    <w:rsid w:val="00956659"/>
    <w:rsid w:val="009566A6"/>
    <w:rsid w:val="0095708C"/>
    <w:rsid w:val="00957B67"/>
    <w:rsid w:val="00957E22"/>
    <w:rsid w:val="009602C0"/>
    <w:rsid w:val="0096121C"/>
    <w:rsid w:val="0096138C"/>
    <w:rsid w:val="00961792"/>
    <w:rsid w:val="00961DDC"/>
    <w:rsid w:val="00962499"/>
    <w:rsid w:val="009626A2"/>
    <w:rsid w:val="00962E86"/>
    <w:rsid w:val="00963DF0"/>
    <w:rsid w:val="00965242"/>
    <w:rsid w:val="009663F6"/>
    <w:rsid w:val="00967315"/>
    <w:rsid w:val="009703F7"/>
    <w:rsid w:val="009710E4"/>
    <w:rsid w:val="0097289F"/>
    <w:rsid w:val="00973824"/>
    <w:rsid w:val="00973C04"/>
    <w:rsid w:val="00976899"/>
    <w:rsid w:val="00976F79"/>
    <w:rsid w:val="0098011B"/>
    <w:rsid w:val="0098081F"/>
    <w:rsid w:val="00983FA1"/>
    <w:rsid w:val="00984102"/>
    <w:rsid w:val="00984752"/>
    <w:rsid w:val="009851D1"/>
    <w:rsid w:val="0098556F"/>
    <w:rsid w:val="00985795"/>
    <w:rsid w:val="00986F41"/>
    <w:rsid w:val="00987841"/>
    <w:rsid w:val="00987B2A"/>
    <w:rsid w:val="00987DF8"/>
    <w:rsid w:val="00987ED4"/>
    <w:rsid w:val="00990D8D"/>
    <w:rsid w:val="009921F1"/>
    <w:rsid w:val="009927C6"/>
    <w:rsid w:val="00992E0B"/>
    <w:rsid w:val="009930B7"/>
    <w:rsid w:val="00995D49"/>
    <w:rsid w:val="00997B6D"/>
    <w:rsid w:val="009A27CE"/>
    <w:rsid w:val="009A29DE"/>
    <w:rsid w:val="009A3E14"/>
    <w:rsid w:val="009A59C0"/>
    <w:rsid w:val="009A5B9C"/>
    <w:rsid w:val="009A6192"/>
    <w:rsid w:val="009A633B"/>
    <w:rsid w:val="009A6971"/>
    <w:rsid w:val="009A6CC3"/>
    <w:rsid w:val="009A7086"/>
    <w:rsid w:val="009B2FB6"/>
    <w:rsid w:val="009B336E"/>
    <w:rsid w:val="009B4522"/>
    <w:rsid w:val="009B5237"/>
    <w:rsid w:val="009B5515"/>
    <w:rsid w:val="009B5864"/>
    <w:rsid w:val="009B71E7"/>
    <w:rsid w:val="009C0061"/>
    <w:rsid w:val="009C1E4C"/>
    <w:rsid w:val="009C23F0"/>
    <w:rsid w:val="009C4B75"/>
    <w:rsid w:val="009C5151"/>
    <w:rsid w:val="009C6B1A"/>
    <w:rsid w:val="009C74B8"/>
    <w:rsid w:val="009C7509"/>
    <w:rsid w:val="009D0CD8"/>
    <w:rsid w:val="009D1B0C"/>
    <w:rsid w:val="009D49C9"/>
    <w:rsid w:val="009D58A3"/>
    <w:rsid w:val="009D6847"/>
    <w:rsid w:val="009D7D6E"/>
    <w:rsid w:val="009E0213"/>
    <w:rsid w:val="009E0D8D"/>
    <w:rsid w:val="009E18C1"/>
    <w:rsid w:val="009E1ADD"/>
    <w:rsid w:val="009E22FF"/>
    <w:rsid w:val="009E473F"/>
    <w:rsid w:val="009E5487"/>
    <w:rsid w:val="009E5989"/>
    <w:rsid w:val="009E5CE2"/>
    <w:rsid w:val="009E5F5A"/>
    <w:rsid w:val="009E72F4"/>
    <w:rsid w:val="009F0048"/>
    <w:rsid w:val="009F073B"/>
    <w:rsid w:val="009F1708"/>
    <w:rsid w:val="009F33AC"/>
    <w:rsid w:val="009F44E1"/>
    <w:rsid w:val="009F49FC"/>
    <w:rsid w:val="009F5902"/>
    <w:rsid w:val="009F79EF"/>
    <w:rsid w:val="00A00703"/>
    <w:rsid w:val="00A02EC0"/>
    <w:rsid w:val="00A02F3F"/>
    <w:rsid w:val="00A030B9"/>
    <w:rsid w:val="00A03180"/>
    <w:rsid w:val="00A04247"/>
    <w:rsid w:val="00A05726"/>
    <w:rsid w:val="00A07543"/>
    <w:rsid w:val="00A07F36"/>
    <w:rsid w:val="00A10332"/>
    <w:rsid w:val="00A1048D"/>
    <w:rsid w:val="00A10D3C"/>
    <w:rsid w:val="00A11DA3"/>
    <w:rsid w:val="00A14448"/>
    <w:rsid w:val="00A15782"/>
    <w:rsid w:val="00A16EC8"/>
    <w:rsid w:val="00A172E9"/>
    <w:rsid w:val="00A17E31"/>
    <w:rsid w:val="00A20F71"/>
    <w:rsid w:val="00A213E3"/>
    <w:rsid w:val="00A21D53"/>
    <w:rsid w:val="00A223DE"/>
    <w:rsid w:val="00A235F9"/>
    <w:rsid w:val="00A23A92"/>
    <w:rsid w:val="00A2652B"/>
    <w:rsid w:val="00A30022"/>
    <w:rsid w:val="00A3039A"/>
    <w:rsid w:val="00A30CD0"/>
    <w:rsid w:val="00A31DA6"/>
    <w:rsid w:val="00A333C7"/>
    <w:rsid w:val="00A35561"/>
    <w:rsid w:val="00A356B4"/>
    <w:rsid w:val="00A35E48"/>
    <w:rsid w:val="00A36E83"/>
    <w:rsid w:val="00A40721"/>
    <w:rsid w:val="00A43CF4"/>
    <w:rsid w:val="00A440CF"/>
    <w:rsid w:val="00A45ECF"/>
    <w:rsid w:val="00A4647E"/>
    <w:rsid w:val="00A468AE"/>
    <w:rsid w:val="00A47A1D"/>
    <w:rsid w:val="00A50C05"/>
    <w:rsid w:val="00A50EB1"/>
    <w:rsid w:val="00A51131"/>
    <w:rsid w:val="00A52059"/>
    <w:rsid w:val="00A53589"/>
    <w:rsid w:val="00A541D3"/>
    <w:rsid w:val="00A54310"/>
    <w:rsid w:val="00A5493D"/>
    <w:rsid w:val="00A555FF"/>
    <w:rsid w:val="00A565CF"/>
    <w:rsid w:val="00A60376"/>
    <w:rsid w:val="00A608FF"/>
    <w:rsid w:val="00A60B00"/>
    <w:rsid w:val="00A611BF"/>
    <w:rsid w:val="00A6133C"/>
    <w:rsid w:val="00A6136C"/>
    <w:rsid w:val="00A6263C"/>
    <w:rsid w:val="00A62A00"/>
    <w:rsid w:val="00A63DA1"/>
    <w:rsid w:val="00A64635"/>
    <w:rsid w:val="00A64B8F"/>
    <w:rsid w:val="00A65BC0"/>
    <w:rsid w:val="00A6657E"/>
    <w:rsid w:val="00A666E0"/>
    <w:rsid w:val="00A66E04"/>
    <w:rsid w:val="00A675C0"/>
    <w:rsid w:val="00A67954"/>
    <w:rsid w:val="00A67974"/>
    <w:rsid w:val="00A73C15"/>
    <w:rsid w:val="00A73CC8"/>
    <w:rsid w:val="00A7465C"/>
    <w:rsid w:val="00A74791"/>
    <w:rsid w:val="00A74AEF"/>
    <w:rsid w:val="00A74B53"/>
    <w:rsid w:val="00A74CC3"/>
    <w:rsid w:val="00A7513B"/>
    <w:rsid w:val="00A76672"/>
    <w:rsid w:val="00A766A9"/>
    <w:rsid w:val="00A76737"/>
    <w:rsid w:val="00A77014"/>
    <w:rsid w:val="00A80304"/>
    <w:rsid w:val="00A8115A"/>
    <w:rsid w:val="00A813C3"/>
    <w:rsid w:val="00A81AF0"/>
    <w:rsid w:val="00A835C3"/>
    <w:rsid w:val="00A838AC"/>
    <w:rsid w:val="00A843E3"/>
    <w:rsid w:val="00A85088"/>
    <w:rsid w:val="00A8532D"/>
    <w:rsid w:val="00A8628F"/>
    <w:rsid w:val="00A86E9F"/>
    <w:rsid w:val="00A92FC6"/>
    <w:rsid w:val="00A93435"/>
    <w:rsid w:val="00A93732"/>
    <w:rsid w:val="00A93AD8"/>
    <w:rsid w:val="00A941DB"/>
    <w:rsid w:val="00A945F0"/>
    <w:rsid w:val="00A96DD9"/>
    <w:rsid w:val="00AA1216"/>
    <w:rsid w:val="00AA2047"/>
    <w:rsid w:val="00AA34CF"/>
    <w:rsid w:val="00AA3B35"/>
    <w:rsid w:val="00AA44CE"/>
    <w:rsid w:val="00AA4A03"/>
    <w:rsid w:val="00AA56F9"/>
    <w:rsid w:val="00AA58A2"/>
    <w:rsid w:val="00AA5F1F"/>
    <w:rsid w:val="00AA657B"/>
    <w:rsid w:val="00AA756E"/>
    <w:rsid w:val="00AB0B57"/>
    <w:rsid w:val="00AB125E"/>
    <w:rsid w:val="00AB13B3"/>
    <w:rsid w:val="00AB21F1"/>
    <w:rsid w:val="00AB43F9"/>
    <w:rsid w:val="00AB598A"/>
    <w:rsid w:val="00AB5ABD"/>
    <w:rsid w:val="00AB5FC9"/>
    <w:rsid w:val="00AB605C"/>
    <w:rsid w:val="00AB6592"/>
    <w:rsid w:val="00AC078A"/>
    <w:rsid w:val="00AC07FF"/>
    <w:rsid w:val="00AC19C6"/>
    <w:rsid w:val="00AC22E5"/>
    <w:rsid w:val="00AC2394"/>
    <w:rsid w:val="00AC2AD3"/>
    <w:rsid w:val="00AC3692"/>
    <w:rsid w:val="00AC387F"/>
    <w:rsid w:val="00AC4CE2"/>
    <w:rsid w:val="00AC5332"/>
    <w:rsid w:val="00AC5B48"/>
    <w:rsid w:val="00AC64A0"/>
    <w:rsid w:val="00AC72D7"/>
    <w:rsid w:val="00AC72E8"/>
    <w:rsid w:val="00AC74E2"/>
    <w:rsid w:val="00AC7B3E"/>
    <w:rsid w:val="00AC7DE8"/>
    <w:rsid w:val="00AD007B"/>
    <w:rsid w:val="00AD1590"/>
    <w:rsid w:val="00AD2815"/>
    <w:rsid w:val="00AD34F8"/>
    <w:rsid w:val="00AD3C94"/>
    <w:rsid w:val="00AD50F5"/>
    <w:rsid w:val="00AD5400"/>
    <w:rsid w:val="00AD5AD5"/>
    <w:rsid w:val="00AD70AC"/>
    <w:rsid w:val="00AE0B6C"/>
    <w:rsid w:val="00AE0D43"/>
    <w:rsid w:val="00AE20C3"/>
    <w:rsid w:val="00AE3254"/>
    <w:rsid w:val="00AE3F5E"/>
    <w:rsid w:val="00AE58B7"/>
    <w:rsid w:val="00AE6664"/>
    <w:rsid w:val="00AE774F"/>
    <w:rsid w:val="00AF032F"/>
    <w:rsid w:val="00AF03FF"/>
    <w:rsid w:val="00AF17FD"/>
    <w:rsid w:val="00AF1D20"/>
    <w:rsid w:val="00AF4058"/>
    <w:rsid w:val="00AF5920"/>
    <w:rsid w:val="00AF7BEA"/>
    <w:rsid w:val="00B00978"/>
    <w:rsid w:val="00B02235"/>
    <w:rsid w:val="00B0227D"/>
    <w:rsid w:val="00B037E6"/>
    <w:rsid w:val="00B04942"/>
    <w:rsid w:val="00B054B0"/>
    <w:rsid w:val="00B077EC"/>
    <w:rsid w:val="00B114DE"/>
    <w:rsid w:val="00B127CF"/>
    <w:rsid w:val="00B13DDD"/>
    <w:rsid w:val="00B15C1D"/>
    <w:rsid w:val="00B1652E"/>
    <w:rsid w:val="00B17C9B"/>
    <w:rsid w:val="00B17F08"/>
    <w:rsid w:val="00B20B2D"/>
    <w:rsid w:val="00B21384"/>
    <w:rsid w:val="00B2592B"/>
    <w:rsid w:val="00B2612E"/>
    <w:rsid w:val="00B30786"/>
    <w:rsid w:val="00B30B8A"/>
    <w:rsid w:val="00B312D6"/>
    <w:rsid w:val="00B31313"/>
    <w:rsid w:val="00B328D6"/>
    <w:rsid w:val="00B32A7E"/>
    <w:rsid w:val="00B32B5F"/>
    <w:rsid w:val="00B33495"/>
    <w:rsid w:val="00B34695"/>
    <w:rsid w:val="00B348A3"/>
    <w:rsid w:val="00B348AD"/>
    <w:rsid w:val="00B34E6D"/>
    <w:rsid w:val="00B35853"/>
    <w:rsid w:val="00B35E9F"/>
    <w:rsid w:val="00B3601C"/>
    <w:rsid w:val="00B37066"/>
    <w:rsid w:val="00B3723E"/>
    <w:rsid w:val="00B40F7C"/>
    <w:rsid w:val="00B4153C"/>
    <w:rsid w:val="00B41D07"/>
    <w:rsid w:val="00B41E36"/>
    <w:rsid w:val="00B4306D"/>
    <w:rsid w:val="00B437DD"/>
    <w:rsid w:val="00B439B1"/>
    <w:rsid w:val="00B44635"/>
    <w:rsid w:val="00B45E3B"/>
    <w:rsid w:val="00B47D29"/>
    <w:rsid w:val="00B53017"/>
    <w:rsid w:val="00B56817"/>
    <w:rsid w:val="00B5771F"/>
    <w:rsid w:val="00B57D72"/>
    <w:rsid w:val="00B57F5C"/>
    <w:rsid w:val="00B57FFD"/>
    <w:rsid w:val="00B61298"/>
    <w:rsid w:val="00B617AD"/>
    <w:rsid w:val="00B61EC1"/>
    <w:rsid w:val="00B6201A"/>
    <w:rsid w:val="00B6249D"/>
    <w:rsid w:val="00B626A2"/>
    <w:rsid w:val="00B62828"/>
    <w:rsid w:val="00B6320B"/>
    <w:rsid w:val="00B639A9"/>
    <w:rsid w:val="00B64B2A"/>
    <w:rsid w:val="00B6599F"/>
    <w:rsid w:val="00B6698C"/>
    <w:rsid w:val="00B67056"/>
    <w:rsid w:val="00B67FC5"/>
    <w:rsid w:val="00B70C6D"/>
    <w:rsid w:val="00B7129D"/>
    <w:rsid w:val="00B715CC"/>
    <w:rsid w:val="00B7242D"/>
    <w:rsid w:val="00B72529"/>
    <w:rsid w:val="00B72874"/>
    <w:rsid w:val="00B767B3"/>
    <w:rsid w:val="00B76854"/>
    <w:rsid w:val="00B77328"/>
    <w:rsid w:val="00B77BE9"/>
    <w:rsid w:val="00B80C32"/>
    <w:rsid w:val="00B811C4"/>
    <w:rsid w:val="00B81B3D"/>
    <w:rsid w:val="00B84898"/>
    <w:rsid w:val="00B85071"/>
    <w:rsid w:val="00B85412"/>
    <w:rsid w:val="00B85F19"/>
    <w:rsid w:val="00B860FC"/>
    <w:rsid w:val="00B863D7"/>
    <w:rsid w:val="00B86669"/>
    <w:rsid w:val="00B86F88"/>
    <w:rsid w:val="00B87516"/>
    <w:rsid w:val="00B877B6"/>
    <w:rsid w:val="00B87A78"/>
    <w:rsid w:val="00B87E23"/>
    <w:rsid w:val="00B90405"/>
    <w:rsid w:val="00B91621"/>
    <w:rsid w:val="00B917CF"/>
    <w:rsid w:val="00B92761"/>
    <w:rsid w:val="00B92E93"/>
    <w:rsid w:val="00B94530"/>
    <w:rsid w:val="00B94D38"/>
    <w:rsid w:val="00B9503B"/>
    <w:rsid w:val="00B96A19"/>
    <w:rsid w:val="00B97AB5"/>
    <w:rsid w:val="00BA161C"/>
    <w:rsid w:val="00BA199F"/>
    <w:rsid w:val="00BA48DC"/>
    <w:rsid w:val="00BA5312"/>
    <w:rsid w:val="00BA75C4"/>
    <w:rsid w:val="00BB20B9"/>
    <w:rsid w:val="00BB2C92"/>
    <w:rsid w:val="00BB2D6D"/>
    <w:rsid w:val="00BB3465"/>
    <w:rsid w:val="00BB422D"/>
    <w:rsid w:val="00BB55A4"/>
    <w:rsid w:val="00BB55B9"/>
    <w:rsid w:val="00BB7AC3"/>
    <w:rsid w:val="00BC0181"/>
    <w:rsid w:val="00BC028D"/>
    <w:rsid w:val="00BC082C"/>
    <w:rsid w:val="00BC1763"/>
    <w:rsid w:val="00BC1947"/>
    <w:rsid w:val="00BC1C11"/>
    <w:rsid w:val="00BC334E"/>
    <w:rsid w:val="00BC3C8B"/>
    <w:rsid w:val="00BC56DA"/>
    <w:rsid w:val="00BC6038"/>
    <w:rsid w:val="00BC611E"/>
    <w:rsid w:val="00BC6ACF"/>
    <w:rsid w:val="00BC7177"/>
    <w:rsid w:val="00BC73DC"/>
    <w:rsid w:val="00BD0F4A"/>
    <w:rsid w:val="00BD3AC9"/>
    <w:rsid w:val="00BD458F"/>
    <w:rsid w:val="00BD46DC"/>
    <w:rsid w:val="00BD4842"/>
    <w:rsid w:val="00BD50C5"/>
    <w:rsid w:val="00BD56EA"/>
    <w:rsid w:val="00BD5AD7"/>
    <w:rsid w:val="00BD5BE6"/>
    <w:rsid w:val="00BD6484"/>
    <w:rsid w:val="00BD719B"/>
    <w:rsid w:val="00BD73D1"/>
    <w:rsid w:val="00BE0070"/>
    <w:rsid w:val="00BE0252"/>
    <w:rsid w:val="00BE05D8"/>
    <w:rsid w:val="00BE117E"/>
    <w:rsid w:val="00BE256C"/>
    <w:rsid w:val="00BE2B08"/>
    <w:rsid w:val="00BE3066"/>
    <w:rsid w:val="00BE30B1"/>
    <w:rsid w:val="00BE6344"/>
    <w:rsid w:val="00BE6E99"/>
    <w:rsid w:val="00BE7FBA"/>
    <w:rsid w:val="00BF123B"/>
    <w:rsid w:val="00BF1B59"/>
    <w:rsid w:val="00BF2B76"/>
    <w:rsid w:val="00BF2CDD"/>
    <w:rsid w:val="00BF3789"/>
    <w:rsid w:val="00BF4C32"/>
    <w:rsid w:val="00BF687C"/>
    <w:rsid w:val="00C0000C"/>
    <w:rsid w:val="00C00265"/>
    <w:rsid w:val="00C04472"/>
    <w:rsid w:val="00C0745C"/>
    <w:rsid w:val="00C077FF"/>
    <w:rsid w:val="00C10184"/>
    <w:rsid w:val="00C10BC3"/>
    <w:rsid w:val="00C11846"/>
    <w:rsid w:val="00C11F89"/>
    <w:rsid w:val="00C12B00"/>
    <w:rsid w:val="00C12DDE"/>
    <w:rsid w:val="00C12FA4"/>
    <w:rsid w:val="00C13BFE"/>
    <w:rsid w:val="00C14438"/>
    <w:rsid w:val="00C14602"/>
    <w:rsid w:val="00C154EA"/>
    <w:rsid w:val="00C159B2"/>
    <w:rsid w:val="00C16D52"/>
    <w:rsid w:val="00C174C7"/>
    <w:rsid w:val="00C220DA"/>
    <w:rsid w:val="00C2293A"/>
    <w:rsid w:val="00C237D5"/>
    <w:rsid w:val="00C23889"/>
    <w:rsid w:val="00C243A9"/>
    <w:rsid w:val="00C24EDA"/>
    <w:rsid w:val="00C30483"/>
    <w:rsid w:val="00C3099B"/>
    <w:rsid w:val="00C30C41"/>
    <w:rsid w:val="00C3321B"/>
    <w:rsid w:val="00C33297"/>
    <w:rsid w:val="00C34868"/>
    <w:rsid w:val="00C35E9A"/>
    <w:rsid w:val="00C36875"/>
    <w:rsid w:val="00C37BD8"/>
    <w:rsid w:val="00C409DC"/>
    <w:rsid w:val="00C40B96"/>
    <w:rsid w:val="00C41247"/>
    <w:rsid w:val="00C4449D"/>
    <w:rsid w:val="00C46868"/>
    <w:rsid w:val="00C47A99"/>
    <w:rsid w:val="00C50885"/>
    <w:rsid w:val="00C520AC"/>
    <w:rsid w:val="00C53D16"/>
    <w:rsid w:val="00C53DFC"/>
    <w:rsid w:val="00C54A15"/>
    <w:rsid w:val="00C5565C"/>
    <w:rsid w:val="00C564F9"/>
    <w:rsid w:val="00C57A8E"/>
    <w:rsid w:val="00C605C4"/>
    <w:rsid w:val="00C60D8F"/>
    <w:rsid w:val="00C611EC"/>
    <w:rsid w:val="00C6237A"/>
    <w:rsid w:val="00C62934"/>
    <w:rsid w:val="00C62EA4"/>
    <w:rsid w:val="00C635E0"/>
    <w:rsid w:val="00C6481C"/>
    <w:rsid w:val="00C64835"/>
    <w:rsid w:val="00C648BD"/>
    <w:rsid w:val="00C651CA"/>
    <w:rsid w:val="00C65364"/>
    <w:rsid w:val="00C70EF4"/>
    <w:rsid w:val="00C7120A"/>
    <w:rsid w:val="00C7140E"/>
    <w:rsid w:val="00C746B5"/>
    <w:rsid w:val="00C7548C"/>
    <w:rsid w:val="00C7652D"/>
    <w:rsid w:val="00C778F9"/>
    <w:rsid w:val="00C8001E"/>
    <w:rsid w:val="00C80C08"/>
    <w:rsid w:val="00C80E95"/>
    <w:rsid w:val="00C81F1C"/>
    <w:rsid w:val="00C823CE"/>
    <w:rsid w:val="00C82443"/>
    <w:rsid w:val="00C82561"/>
    <w:rsid w:val="00C82B95"/>
    <w:rsid w:val="00C82F67"/>
    <w:rsid w:val="00C84BB3"/>
    <w:rsid w:val="00C84EA1"/>
    <w:rsid w:val="00C85D0A"/>
    <w:rsid w:val="00C86F7D"/>
    <w:rsid w:val="00C877FB"/>
    <w:rsid w:val="00C9059A"/>
    <w:rsid w:val="00C910D0"/>
    <w:rsid w:val="00C9180C"/>
    <w:rsid w:val="00C91A7E"/>
    <w:rsid w:val="00C92173"/>
    <w:rsid w:val="00C93692"/>
    <w:rsid w:val="00C93749"/>
    <w:rsid w:val="00C93B19"/>
    <w:rsid w:val="00C94CC9"/>
    <w:rsid w:val="00C963D1"/>
    <w:rsid w:val="00C96A5B"/>
    <w:rsid w:val="00C96B61"/>
    <w:rsid w:val="00C972CA"/>
    <w:rsid w:val="00CA03F3"/>
    <w:rsid w:val="00CA24D3"/>
    <w:rsid w:val="00CA3F6C"/>
    <w:rsid w:val="00CA6B3E"/>
    <w:rsid w:val="00CB0596"/>
    <w:rsid w:val="00CB2FE3"/>
    <w:rsid w:val="00CB3D86"/>
    <w:rsid w:val="00CB4074"/>
    <w:rsid w:val="00CB4BFE"/>
    <w:rsid w:val="00CB5CC3"/>
    <w:rsid w:val="00CB6439"/>
    <w:rsid w:val="00CC0A92"/>
    <w:rsid w:val="00CC0B71"/>
    <w:rsid w:val="00CC16A5"/>
    <w:rsid w:val="00CC47F4"/>
    <w:rsid w:val="00CC4928"/>
    <w:rsid w:val="00CC52CA"/>
    <w:rsid w:val="00CC55C1"/>
    <w:rsid w:val="00CC5925"/>
    <w:rsid w:val="00CC5DC8"/>
    <w:rsid w:val="00CC6B5B"/>
    <w:rsid w:val="00CC76D3"/>
    <w:rsid w:val="00CC7F3B"/>
    <w:rsid w:val="00CD160B"/>
    <w:rsid w:val="00CD219B"/>
    <w:rsid w:val="00CD2765"/>
    <w:rsid w:val="00CD3766"/>
    <w:rsid w:val="00CD384F"/>
    <w:rsid w:val="00CD46F5"/>
    <w:rsid w:val="00CD4E93"/>
    <w:rsid w:val="00CD66B6"/>
    <w:rsid w:val="00CD7B47"/>
    <w:rsid w:val="00CE4140"/>
    <w:rsid w:val="00CE6021"/>
    <w:rsid w:val="00CE628E"/>
    <w:rsid w:val="00CE637C"/>
    <w:rsid w:val="00CE6D29"/>
    <w:rsid w:val="00CE7BA8"/>
    <w:rsid w:val="00CE7C72"/>
    <w:rsid w:val="00CE7E94"/>
    <w:rsid w:val="00CF08F2"/>
    <w:rsid w:val="00CF0EA8"/>
    <w:rsid w:val="00CF0FF0"/>
    <w:rsid w:val="00CF1330"/>
    <w:rsid w:val="00CF1942"/>
    <w:rsid w:val="00CF3576"/>
    <w:rsid w:val="00CF3770"/>
    <w:rsid w:val="00CF4328"/>
    <w:rsid w:val="00CF49E0"/>
    <w:rsid w:val="00CF51B0"/>
    <w:rsid w:val="00CF5C30"/>
    <w:rsid w:val="00CF60AB"/>
    <w:rsid w:val="00CF6A24"/>
    <w:rsid w:val="00CF7271"/>
    <w:rsid w:val="00D0089E"/>
    <w:rsid w:val="00D04C23"/>
    <w:rsid w:val="00D05C35"/>
    <w:rsid w:val="00D05C8E"/>
    <w:rsid w:val="00D0681C"/>
    <w:rsid w:val="00D06C31"/>
    <w:rsid w:val="00D070A2"/>
    <w:rsid w:val="00D1146D"/>
    <w:rsid w:val="00D132EC"/>
    <w:rsid w:val="00D13B9B"/>
    <w:rsid w:val="00D1557B"/>
    <w:rsid w:val="00D1570A"/>
    <w:rsid w:val="00D15CDF"/>
    <w:rsid w:val="00D16501"/>
    <w:rsid w:val="00D16B29"/>
    <w:rsid w:val="00D16FF9"/>
    <w:rsid w:val="00D177D6"/>
    <w:rsid w:val="00D2064B"/>
    <w:rsid w:val="00D2074C"/>
    <w:rsid w:val="00D22537"/>
    <w:rsid w:val="00D22FC3"/>
    <w:rsid w:val="00D24905"/>
    <w:rsid w:val="00D24C53"/>
    <w:rsid w:val="00D252E5"/>
    <w:rsid w:val="00D2685C"/>
    <w:rsid w:val="00D26C04"/>
    <w:rsid w:val="00D27D08"/>
    <w:rsid w:val="00D31D11"/>
    <w:rsid w:val="00D32364"/>
    <w:rsid w:val="00D3330A"/>
    <w:rsid w:val="00D35B6D"/>
    <w:rsid w:val="00D374B7"/>
    <w:rsid w:val="00D400E0"/>
    <w:rsid w:val="00D40B80"/>
    <w:rsid w:val="00D40E7D"/>
    <w:rsid w:val="00D430E1"/>
    <w:rsid w:val="00D4349F"/>
    <w:rsid w:val="00D45B84"/>
    <w:rsid w:val="00D46E7E"/>
    <w:rsid w:val="00D46F57"/>
    <w:rsid w:val="00D476EC"/>
    <w:rsid w:val="00D500FC"/>
    <w:rsid w:val="00D51B10"/>
    <w:rsid w:val="00D52163"/>
    <w:rsid w:val="00D5245B"/>
    <w:rsid w:val="00D53DDF"/>
    <w:rsid w:val="00D54AF6"/>
    <w:rsid w:val="00D55853"/>
    <w:rsid w:val="00D563D9"/>
    <w:rsid w:val="00D56627"/>
    <w:rsid w:val="00D5799D"/>
    <w:rsid w:val="00D601C2"/>
    <w:rsid w:val="00D60E8C"/>
    <w:rsid w:val="00D60F13"/>
    <w:rsid w:val="00D6184C"/>
    <w:rsid w:val="00D61CDB"/>
    <w:rsid w:val="00D62327"/>
    <w:rsid w:val="00D624AA"/>
    <w:rsid w:val="00D625DD"/>
    <w:rsid w:val="00D64B1D"/>
    <w:rsid w:val="00D64B67"/>
    <w:rsid w:val="00D64FF8"/>
    <w:rsid w:val="00D657E6"/>
    <w:rsid w:val="00D6603B"/>
    <w:rsid w:val="00D6632A"/>
    <w:rsid w:val="00D67988"/>
    <w:rsid w:val="00D67B06"/>
    <w:rsid w:val="00D704DE"/>
    <w:rsid w:val="00D70EB5"/>
    <w:rsid w:val="00D71380"/>
    <w:rsid w:val="00D71496"/>
    <w:rsid w:val="00D72285"/>
    <w:rsid w:val="00D74EF3"/>
    <w:rsid w:val="00D76055"/>
    <w:rsid w:val="00D76D86"/>
    <w:rsid w:val="00D773DF"/>
    <w:rsid w:val="00D818C9"/>
    <w:rsid w:val="00D824B2"/>
    <w:rsid w:val="00D826F4"/>
    <w:rsid w:val="00D84CEB"/>
    <w:rsid w:val="00D87C83"/>
    <w:rsid w:val="00D91B14"/>
    <w:rsid w:val="00D9299D"/>
    <w:rsid w:val="00D92E04"/>
    <w:rsid w:val="00D9320B"/>
    <w:rsid w:val="00D93881"/>
    <w:rsid w:val="00D94079"/>
    <w:rsid w:val="00D941D8"/>
    <w:rsid w:val="00D95168"/>
    <w:rsid w:val="00DA0AF3"/>
    <w:rsid w:val="00DA1F35"/>
    <w:rsid w:val="00DA2233"/>
    <w:rsid w:val="00DA2764"/>
    <w:rsid w:val="00DA3757"/>
    <w:rsid w:val="00DA466F"/>
    <w:rsid w:val="00DA536D"/>
    <w:rsid w:val="00DA6281"/>
    <w:rsid w:val="00DA664F"/>
    <w:rsid w:val="00DA74D9"/>
    <w:rsid w:val="00DA7C77"/>
    <w:rsid w:val="00DB0B70"/>
    <w:rsid w:val="00DB23F3"/>
    <w:rsid w:val="00DB2814"/>
    <w:rsid w:val="00DB3832"/>
    <w:rsid w:val="00DB3864"/>
    <w:rsid w:val="00DB51B1"/>
    <w:rsid w:val="00DB5256"/>
    <w:rsid w:val="00DB578F"/>
    <w:rsid w:val="00DB6C97"/>
    <w:rsid w:val="00DC111A"/>
    <w:rsid w:val="00DC1788"/>
    <w:rsid w:val="00DC19D9"/>
    <w:rsid w:val="00DC4009"/>
    <w:rsid w:val="00DC424F"/>
    <w:rsid w:val="00DC6972"/>
    <w:rsid w:val="00DD0523"/>
    <w:rsid w:val="00DD156C"/>
    <w:rsid w:val="00DD1E28"/>
    <w:rsid w:val="00DD3670"/>
    <w:rsid w:val="00DD45BE"/>
    <w:rsid w:val="00DD536F"/>
    <w:rsid w:val="00DD5600"/>
    <w:rsid w:val="00DD61D9"/>
    <w:rsid w:val="00DD669E"/>
    <w:rsid w:val="00DD7C89"/>
    <w:rsid w:val="00DE058F"/>
    <w:rsid w:val="00DE362E"/>
    <w:rsid w:val="00DE47F3"/>
    <w:rsid w:val="00DE5A00"/>
    <w:rsid w:val="00DE6196"/>
    <w:rsid w:val="00DE696C"/>
    <w:rsid w:val="00DE7494"/>
    <w:rsid w:val="00DF01D0"/>
    <w:rsid w:val="00DF0573"/>
    <w:rsid w:val="00DF1EC1"/>
    <w:rsid w:val="00DF24D4"/>
    <w:rsid w:val="00DF27C6"/>
    <w:rsid w:val="00DF2E3B"/>
    <w:rsid w:val="00DF2E5E"/>
    <w:rsid w:val="00DF4EE2"/>
    <w:rsid w:val="00DF5EFF"/>
    <w:rsid w:val="00DF6512"/>
    <w:rsid w:val="00DF78ED"/>
    <w:rsid w:val="00E01684"/>
    <w:rsid w:val="00E016BF"/>
    <w:rsid w:val="00E03778"/>
    <w:rsid w:val="00E0657C"/>
    <w:rsid w:val="00E06934"/>
    <w:rsid w:val="00E06BB8"/>
    <w:rsid w:val="00E10FA6"/>
    <w:rsid w:val="00E1477A"/>
    <w:rsid w:val="00E147A0"/>
    <w:rsid w:val="00E1514E"/>
    <w:rsid w:val="00E17888"/>
    <w:rsid w:val="00E20717"/>
    <w:rsid w:val="00E2157C"/>
    <w:rsid w:val="00E2166B"/>
    <w:rsid w:val="00E216AB"/>
    <w:rsid w:val="00E2328E"/>
    <w:rsid w:val="00E235FE"/>
    <w:rsid w:val="00E25EA5"/>
    <w:rsid w:val="00E26460"/>
    <w:rsid w:val="00E26CEE"/>
    <w:rsid w:val="00E27935"/>
    <w:rsid w:val="00E30411"/>
    <w:rsid w:val="00E30863"/>
    <w:rsid w:val="00E30CAD"/>
    <w:rsid w:val="00E31868"/>
    <w:rsid w:val="00E31AD5"/>
    <w:rsid w:val="00E3327F"/>
    <w:rsid w:val="00E3572A"/>
    <w:rsid w:val="00E35898"/>
    <w:rsid w:val="00E36FB5"/>
    <w:rsid w:val="00E374CC"/>
    <w:rsid w:val="00E37587"/>
    <w:rsid w:val="00E37A7F"/>
    <w:rsid w:val="00E401FA"/>
    <w:rsid w:val="00E4116E"/>
    <w:rsid w:val="00E41502"/>
    <w:rsid w:val="00E43E6D"/>
    <w:rsid w:val="00E445CC"/>
    <w:rsid w:val="00E4743A"/>
    <w:rsid w:val="00E50EAE"/>
    <w:rsid w:val="00E51471"/>
    <w:rsid w:val="00E52C84"/>
    <w:rsid w:val="00E55235"/>
    <w:rsid w:val="00E5525A"/>
    <w:rsid w:val="00E55ACA"/>
    <w:rsid w:val="00E56972"/>
    <w:rsid w:val="00E579BC"/>
    <w:rsid w:val="00E57F3F"/>
    <w:rsid w:val="00E60BFB"/>
    <w:rsid w:val="00E61B8B"/>
    <w:rsid w:val="00E62A57"/>
    <w:rsid w:val="00E62C53"/>
    <w:rsid w:val="00E62CBA"/>
    <w:rsid w:val="00E631F1"/>
    <w:rsid w:val="00E656F7"/>
    <w:rsid w:val="00E671A5"/>
    <w:rsid w:val="00E716DA"/>
    <w:rsid w:val="00E719CD"/>
    <w:rsid w:val="00E723D4"/>
    <w:rsid w:val="00E72952"/>
    <w:rsid w:val="00E73B16"/>
    <w:rsid w:val="00E74444"/>
    <w:rsid w:val="00E7491D"/>
    <w:rsid w:val="00E75765"/>
    <w:rsid w:val="00E757B5"/>
    <w:rsid w:val="00E77549"/>
    <w:rsid w:val="00E77F1E"/>
    <w:rsid w:val="00E814BB"/>
    <w:rsid w:val="00E82AF4"/>
    <w:rsid w:val="00E82D0C"/>
    <w:rsid w:val="00E83437"/>
    <w:rsid w:val="00E837D1"/>
    <w:rsid w:val="00E85E62"/>
    <w:rsid w:val="00E905DF"/>
    <w:rsid w:val="00E90EE0"/>
    <w:rsid w:val="00E90FB9"/>
    <w:rsid w:val="00E9361F"/>
    <w:rsid w:val="00E9392B"/>
    <w:rsid w:val="00E93E19"/>
    <w:rsid w:val="00E94EF4"/>
    <w:rsid w:val="00E96900"/>
    <w:rsid w:val="00EA0832"/>
    <w:rsid w:val="00EA1AEF"/>
    <w:rsid w:val="00EA4B82"/>
    <w:rsid w:val="00EA5648"/>
    <w:rsid w:val="00EA56D6"/>
    <w:rsid w:val="00EA5D42"/>
    <w:rsid w:val="00EB031E"/>
    <w:rsid w:val="00EB0377"/>
    <w:rsid w:val="00EB0F55"/>
    <w:rsid w:val="00EB14E4"/>
    <w:rsid w:val="00EB1703"/>
    <w:rsid w:val="00EB1F13"/>
    <w:rsid w:val="00EB2364"/>
    <w:rsid w:val="00EB2818"/>
    <w:rsid w:val="00EB2F40"/>
    <w:rsid w:val="00EB308F"/>
    <w:rsid w:val="00EB3131"/>
    <w:rsid w:val="00EB4826"/>
    <w:rsid w:val="00EB7C61"/>
    <w:rsid w:val="00EC1B9B"/>
    <w:rsid w:val="00EC45B2"/>
    <w:rsid w:val="00EC4669"/>
    <w:rsid w:val="00EC5A59"/>
    <w:rsid w:val="00EC5DCA"/>
    <w:rsid w:val="00EC642B"/>
    <w:rsid w:val="00EC6997"/>
    <w:rsid w:val="00EC7D90"/>
    <w:rsid w:val="00EC7F99"/>
    <w:rsid w:val="00ED065B"/>
    <w:rsid w:val="00ED2B0A"/>
    <w:rsid w:val="00ED3D77"/>
    <w:rsid w:val="00ED4A64"/>
    <w:rsid w:val="00ED4F04"/>
    <w:rsid w:val="00ED4F26"/>
    <w:rsid w:val="00ED576B"/>
    <w:rsid w:val="00ED5BE2"/>
    <w:rsid w:val="00ED6B47"/>
    <w:rsid w:val="00ED768D"/>
    <w:rsid w:val="00ED7748"/>
    <w:rsid w:val="00ED7776"/>
    <w:rsid w:val="00EE0DF2"/>
    <w:rsid w:val="00EE18DC"/>
    <w:rsid w:val="00EE31D1"/>
    <w:rsid w:val="00EE35CB"/>
    <w:rsid w:val="00EE3D0E"/>
    <w:rsid w:val="00EE44DD"/>
    <w:rsid w:val="00EE6E99"/>
    <w:rsid w:val="00EE7A18"/>
    <w:rsid w:val="00EF0B85"/>
    <w:rsid w:val="00EF0E2A"/>
    <w:rsid w:val="00EF207C"/>
    <w:rsid w:val="00EF3A62"/>
    <w:rsid w:val="00EF53F8"/>
    <w:rsid w:val="00F001E9"/>
    <w:rsid w:val="00F00C2D"/>
    <w:rsid w:val="00F01D8E"/>
    <w:rsid w:val="00F02734"/>
    <w:rsid w:val="00F033C0"/>
    <w:rsid w:val="00F03804"/>
    <w:rsid w:val="00F04999"/>
    <w:rsid w:val="00F04AF4"/>
    <w:rsid w:val="00F05DD5"/>
    <w:rsid w:val="00F07141"/>
    <w:rsid w:val="00F07150"/>
    <w:rsid w:val="00F071A7"/>
    <w:rsid w:val="00F10151"/>
    <w:rsid w:val="00F10CF1"/>
    <w:rsid w:val="00F12DE8"/>
    <w:rsid w:val="00F149EB"/>
    <w:rsid w:val="00F15338"/>
    <w:rsid w:val="00F168B1"/>
    <w:rsid w:val="00F16AC7"/>
    <w:rsid w:val="00F16DB1"/>
    <w:rsid w:val="00F16DBD"/>
    <w:rsid w:val="00F17B3E"/>
    <w:rsid w:val="00F20830"/>
    <w:rsid w:val="00F214EB"/>
    <w:rsid w:val="00F22A4B"/>
    <w:rsid w:val="00F23472"/>
    <w:rsid w:val="00F24BE3"/>
    <w:rsid w:val="00F25F69"/>
    <w:rsid w:val="00F2606A"/>
    <w:rsid w:val="00F277DE"/>
    <w:rsid w:val="00F31FDE"/>
    <w:rsid w:val="00F32A22"/>
    <w:rsid w:val="00F32DC1"/>
    <w:rsid w:val="00F32F1F"/>
    <w:rsid w:val="00F34668"/>
    <w:rsid w:val="00F346D5"/>
    <w:rsid w:val="00F35285"/>
    <w:rsid w:val="00F35969"/>
    <w:rsid w:val="00F35AAD"/>
    <w:rsid w:val="00F35AB1"/>
    <w:rsid w:val="00F36BCE"/>
    <w:rsid w:val="00F37AF9"/>
    <w:rsid w:val="00F402B6"/>
    <w:rsid w:val="00F418E4"/>
    <w:rsid w:val="00F445E6"/>
    <w:rsid w:val="00F446CB"/>
    <w:rsid w:val="00F464A3"/>
    <w:rsid w:val="00F47E33"/>
    <w:rsid w:val="00F50AB6"/>
    <w:rsid w:val="00F50C7D"/>
    <w:rsid w:val="00F516B3"/>
    <w:rsid w:val="00F521A1"/>
    <w:rsid w:val="00F52757"/>
    <w:rsid w:val="00F52D80"/>
    <w:rsid w:val="00F52F82"/>
    <w:rsid w:val="00F5378F"/>
    <w:rsid w:val="00F54141"/>
    <w:rsid w:val="00F556CE"/>
    <w:rsid w:val="00F5637C"/>
    <w:rsid w:val="00F57499"/>
    <w:rsid w:val="00F64948"/>
    <w:rsid w:val="00F658DA"/>
    <w:rsid w:val="00F65F64"/>
    <w:rsid w:val="00F66115"/>
    <w:rsid w:val="00F70072"/>
    <w:rsid w:val="00F71751"/>
    <w:rsid w:val="00F74FDC"/>
    <w:rsid w:val="00F7643D"/>
    <w:rsid w:val="00F767C6"/>
    <w:rsid w:val="00F76BCD"/>
    <w:rsid w:val="00F776B9"/>
    <w:rsid w:val="00F8008B"/>
    <w:rsid w:val="00F80994"/>
    <w:rsid w:val="00F8114D"/>
    <w:rsid w:val="00F8139F"/>
    <w:rsid w:val="00F818B1"/>
    <w:rsid w:val="00F82E09"/>
    <w:rsid w:val="00F85E6F"/>
    <w:rsid w:val="00F868DB"/>
    <w:rsid w:val="00F86993"/>
    <w:rsid w:val="00F874DC"/>
    <w:rsid w:val="00F912FD"/>
    <w:rsid w:val="00F933A6"/>
    <w:rsid w:val="00F933BD"/>
    <w:rsid w:val="00F93AA0"/>
    <w:rsid w:val="00F9683A"/>
    <w:rsid w:val="00FA0820"/>
    <w:rsid w:val="00FA135E"/>
    <w:rsid w:val="00FA148A"/>
    <w:rsid w:val="00FA1B63"/>
    <w:rsid w:val="00FA21B8"/>
    <w:rsid w:val="00FA44B0"/>
    <w:rsid w:val="00FA4575"/>
    <w:rsid w:val="00FA53F8"/>
    <w:rsid w:val="00FA58A0"/>
    <w:rsid w:val="00FA725D"/>
    <w:rsid w:val="00FA752A"/>
    <w:rsid w:val="00FA7F90"/>
    <w:rsid w:val="00FB0175"/>
    <w:rsid w:val="00FB04A4"/>
    <w:rsid w:val="00FB05D7"/>
    <w:rsid w:val="00FB070C"/>
    <w:rsid w:val="00FB12DF"/>
    <w:rsid w:val="00FB139B"/>
    <w:rsid w:val="00FB160B"/>
    <w:rsid w:val="00FB2876"/>
    <w:rsid w:val="00FB2A89"/>
    <w:rsid w:val="00FB4DA2"/>
    <w:rsid w:val="00FB7464"/>
    <w:rsid w:val="00FB7A69"/>
    <w:rsid w:val="00FB7B00"/>
    <w:rsid w:val="00FC10BF"/>
    <w:rsid w:val="00FC1117"/>
    <w:rsid w:val="00FC1740"/>
    <w:rsid w:val="00FC24A6"/>
    <w:rsid w:val="00FC5333"/>
    <w:rsid w:val="00FC5C28"/>
    <w:rsid w:val="00FC6535"/>
    <w:rsid w:val="00FC7607"/>
    <w:rsid w:val="00FD061B"/>
    <w:rsid w:val="00FD25C6"/>
    <w:rsid w:val="00FD397F"/>
    <w:rsid w:val="00FD57E6"/>
    <w:rsid w:val="00FD5C64"/>
    <w:rsid w:val="00FD6B80"/>
    <w:rsid w:val="00FE04E5"/>
    <w:rsid w:val="00FE0692"/>
    <w:rsid w:val="00FE09FD"/>
    <w:rsid w:val="00FE2896"/>
    <w:rsid w:val="00FE3CE3"/>
    <w:rsid w:val="00FE4C27"/>
    <w:rsid w:val="00FE602A"/>
    <w:rsid w:val="00FE6069"/>
    <w:rsid w:val="00FE649E"/>
    <w:rsid w:val="00FF25E6"/>
    <w:rsid w:val="00FF3479"/>
    <w:rsid w:val="00FF48DD"/>
    <w:rsid w:val="00FF4979"/>
    <w:rsid w:val="00FF4F2B"/>
    <w:rsid w:val="00FF63D5"/>
    <w:rsid w:val="00FF6ABF"/>
    <w:rsid w:val="012F3AD0"/>
    <w:rsid w:val="0273258E"/>
    <w:rsid w:val="035A678E"/>
    <w:rsid w:val="03773283"/>
    <w:rsid w:val="03A11C9E"/>
    <w:rsid w:val="03B879E7"/>
    <w:rsid w:val="03C32292"/>
    <w:rsid w:val="046248DD"/>
    <w:rsid w:val="04C64E6C"/>
    <w:rsid w:val="05426DEB"/>
    <w:rsid w:val="06AB0F7C"/>
    <w:rsid w:val="06BF6BED"/>
    <w:rsid w:val="071B1B17"/>
    <w:rsid w:val="08135F58"/>
    <w:rsid w:val="0874698D"/>
    <w:rsid w:val="088149FE"/>
    <w:rsid w:val="08A300BA"/>
    <w:rsid w:val="0B346F79"/>
    <w:rsid w:val="0BC21A64"/>
    <w:rsid w:val="0CD2340C"/>
    <w:rsid w:val="0CF9242D"/>
    <w:rsid w:val="0F3E4514"/>
    <w:rsid w:val="10AB720C"/>
    <w:rsid w:val="11450E7B"/>
    <w:rsid w:val="12F41825"/>
    <w:rsid w:val="13465DAC"/>
    <w:rsid w:val="13627AFD"/>
    <w:rsid w:val="141A663B"/>
    <w:rsid w:val="143A6B83"/>
    <w:rsid w:val="144A6150"/>
    <w:rsid w:val="16323029"/>
    <w:rsid w:val="169507DA"/>
    <w:rsid w:val="16FF7D6A"/>
    <w:rsid w:val="17204538"/>
    <w:rsid w:val="17B673C7"/>
    <w:rsid w:val="1A8522A1"/>
    <w:rsid w:val="1B4829ED"/>
    <w:rsid w:val="1C133FD3"/>
    <w:rsid w:val="1C362480"/>
    <w:rsid w:val="1D1A2045"/>
    <w:rsid w:val="1D736B1A"/>
    <w:rsid w:val="1DA82407"/>
    <w:rsid w:val="1E020A53"/>
    <w:rsid w:val="1E6B3DE8"/>
    <w:rsid w:val="1F3E48DE"/>
    <w:rsid w:val="1FBB670C"/>
    <w:rsid w:val="203C4A4A"/>
    <w:rsid w:val="21703D3E"/>
    <w:rsid w:val="21920158"/>
    <w:rsid w:val="222F3A62"/>
    <w:rsid w:val="225E4DD1"/>
    <w:rsid w:val="22877C26"/>
    <w:rsid w:val="23D82053"/>
    <w:rsid w:val="24FB669F"/>
    <w:rsid w:val="25E95A7E"/>
    <w:rsid w:val="26230820"/>
    <w:rsid w:val="26D7485F"/>
    <w:rsid w:val="27A51173"/>
    <w:rsid w:val="29543F45"/>
    <w:rsid w:val="2A835B6A"/>
    <w:rsid w:val="2AC74991"/>
    <w:rsid w:val="2B68640D"/>
    <w:rsid w:val="2B8C3E6A"/>
    <w:rsid w:val="2B994C8F"/>
    <w:rsid w:val="2CB25B52"/>
    <w:rsid w:val="2DAB3FE7"/>
    <w:rsid w:val="2E3D76E0"/>
    <w:rsid w:val="2EA46394"/>
    <w:rsid w:val="2F5C63B6"/>
    <w:rsid w:val="2F6A5F98"/>
    <w:rsid w:val="3040355D"/>
    <w:rsid w:val="330C0B43"/>
    <w:rsid w:val="33A51F6D"/>
    <w:rsid w:val="33BA709B"/>
    <w:rsid w:val="33F77870"/>
    <w:rsid w:val="34B10D56"/>
    <w:rsid w:val="34B26753"/>
    <w:rsid w:val="369D6723"/>
    <w:rsid w:val="36C4095C"/>
    <w:rsid w:val="37563E6B"/>
    <w:rsid w:val="38675A43"/>
    <w:rsid w:val="39802A1F"/>
    <w:rsid w:val="3A8005DB"/>
    <w:rsid w:val="3A853851"/>
    <w:rsid w:val="3B3A5602"/>
    <w:rsid w:val="3CF8135F"/>
    <w:rsid w:val="3D07137F"/>
    <w:rsid w:val="3DA17D9C"/>
    <w:rsid w:val="3F674973"/>
    <w:rsid w:val="3F6F1681"/>
    <w:rsid w:val="3FCC6732"/>
    <w:rsid w:val="4001677D"/>
    <w:rsid w:val="418036D2"/>
    <w:rsid w:val="41EA1493"/>
    <w:rsid w:val="41FD4D22"/>
    <w:rsid w:val="424924DD"/>
    <w:rsid w:val="43081455"/>
    <w:rsid w:val="438A4ADE"/>
    <w:rsid w:val="438F6C4E"/>
    <w:rsid w:val="443F1622"/>
    <w:rsid w:val="45FC71DF"/>
    <w:rsid w:val="46A75BA4"/>
    <w:rsid w:val="4899407A"/>
    <w:rsid w:val="48D158C7"/>
    <w:rsid w:val="49B636D1"/>
    <w:rsid w:val="49BC6688"/>
    <w:rsid w:val="4A0F5F3A"/>
    <w:rsid w:val="4AD11BE1"/>
    <w:rsid w:val="4AEF64B9"/>
    <w:rsid w:val="4B7556B3"/>
    <w:rsid w:val="4B867F1B"/>
    <w:rsid w:val="4BB11BBF"/>
    <w:rsid w:val="4BF70A34"/>
    <w:rsid w:val="4C742EFD"/>
    <w:rsid w:val="4CBB08D3"/>
    <w:rsid w:val="4ECD40AD"/>
    <w:rsid w:val="4FB828DE"/>
    <w:rsid w:val="512F0B99"/>
    <w:rsid w:val="52897275"/>
    <w:rsid w:val="5328172D"/>
    <w:rsid w:val="551875B7"/>
    <w:rsid w:val="555869E7"/>
    <w:rsid w:val="57315742"/>
    <w:rsid w:val="57C147CD"/>
    <w:rsid w:val="57DA53F5"/>
    <w:rsid w:val="5955323E"/>
    <w:rsid w:val="59866833"/>
    <w:rsid w:val="59F1740B"/>
    <w:rsid w:val="5A3C1755"/>
    <w:rsid w:val="5A706581"/>
    <w:rsid w:val="5AA24261"/>
    <w:rsid w:val="5AB13388"/>
    <w:rsid w:val="5B922527"/>
    <w:rsid w:val="5BCF00E3"/>
    <w:rsid w:val="5C142F3C"/>
    <w:rsid w:val="5D395350"/>
    <w:rsid w:val="5DF66C02"/>
    <w:rsid w:val="5F0B5819"/>
    <w:rsid w:val="5FFF4A50"/>
    <w:rsid w:val="60D96503"/>
    <w:rsid w:val="62F87114"/>
    <w:rsid w:val="62FA20CA"/>
    <w:rsid w:val="63457D95"/>
    <w:rsid w:val="64BF0603"/>
    <w:rsid w:val="657A0A19"/>
    <w:rsid w:val="657A6506"/>
    <w:rsid w:val="66403E3E"/>
    <w:rsid w:val="67EC680C"/>
    <w:rsid w:val="69164798"/>
    <w:rsid w:val="6A62748D"/>
    <w:rsid w:val="6BD501DB"/>
    <w:rsid w:val="6C8824A7"/>
    <w:rsid w:val="6D4D2752"/>
    <w:rsid w:val="6E841D9E"/>
    <w:rsid w:val="6F0B77CE"/>
    <w:rsid w:val="6F2C7EF4"/>
    <w:rsid w:val="6F3516F0"/>
    <w:rsid w:val="6F525DFE"/>
    <w:rsid w:val="6FB25BCF"/>
    <w:rsid w:val="6FE60540"/>
    <w:rsid w:val="70CC2E15"/>
    <w:rsid w:val="713F0604"/>
    <w:rsid w:val="71552E50"/>
    <w:rsid w:val="71BC57F8"/>
    <w:rsid w:val="727024B0"/>
    <w:rsid w:val="73815756"/>
    <w:rsid w:val="73AF0429"/>
    <w:rsid w:val="75506A71"/>
    <w:rsid w:val="78B02C8E"/>
    <w:rsid w:val="79894B12"/>
    <w:rsid w:val="7A13262E"/>
    <w:rsid w:val="7A5F5A2A"/>
    <w:rsid w:val="7B1F0D0A"/>
    <w:rsid w:val="7B554C1B"/>
    <w:rsid w:val="7C020ED8"/>
    <w:rsid w:val="7C3C4D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styleId="2">
    <w:name w:val="heading 1"/>
    <w:basedOn w:val="1"/>
    <w:next w:val="1"/>
    <w:link w:val="49"/>
    <w:qFormat/>
    <w:uiPriority w:val="0"/>
    <w:pPr>
      <w:keepNext/>
      <w:jc w:val="right"/>
      <w:outlineLvl w:val="0"/>
    </w:pPr>
    <w:rPr>
      <w:rFonts w:ascii="黑体" w:eastAsia="黑体"/>
      <w:b/>
      <w:sz w:val="21"/>
    </w:rPr>
  </w:style>
  <w:style w:type="paragraph" w:styleId="3">
    <w:name w:val="heading 2"/>
    <w:basedOn w:val="1"/>
    <w:next w:val="1"/>
    <w:link w:val="50"/>
    <w:qFormat/>
    <w:uiPriority w:val="0"/>
    <w:pPr>
      <w:keepNext/>
      <w:keepLines/>
      <w:numPr>
        <w:ilvl w:val="0"/>
        <w:numId w:val="1"/>
      </w:numPr>
      <w:adjustRightInd/>
      <w:spacing w:before="260" w:after="260" w:line="416" w:lineRule="auto"/>
      <w:jc w:val="both"/>
      <w:textAlignment w:val="auto"/>
      <w:outlineLvl w:val="1"/>
    </w:pPr>
    <w:rPr>
      <w:rFonts w:ascii="Arial" w:hAnsi="Arial" w:eastAsia="黑体"/>
      <w:b/>
      <w:bCs/>
      <w:kern w:val="2"/>
      <w:sz w:val="32"/>
      <w:szCs w:val="32"/>
    </w:rPr>
  </w:style>
  <w:style w:type="paragraph" w:styleId="4">
    <w:name w:val="heading 3"/>
    <w:basedOn w:val="1"/>
    <w:next w:val="1"/>
    <w:link w:val="51"/>
    <w:qFormat/>
    <w:uiPriority w:val="0"/>
    <w:pPr>
      <w:keepNext/>
      <w:keepLines/>
      <w:numPr>
        <w:ilvl w:val="1"/>
        <w:numId w:val="2"/>
      </w:numPr>
      <w:adjustRightInd/>
      <w:spacing w:before="260" w:after="260" w:line="416" w:lineRule="auto"/>
      <w:jc w:val="both"/>
      <w:textAlignment w:val="auto"/>
      <w:outlineLvl w:val="2"/>
    </w:pPr>
    <w:rPr>
      <w:rFonts w:ascii="Times New Roman"/>
      <w:b/>
      <w:bCs/>
      <w:kern w:val="2"/>
      <w:sz w:val="32"/>
      <w:szCs w:val="32"/>
    </w:rPr>
  </w:style>
  <w:style w:type="paragraph" w:styleId="5">
    <w:name w:val="heading 4"/>
    <w:basedOn w:val="1"/>
    <w:next w:val="1"/>
    <w:link w:val="52"/>
    <w:qFormat/>
    <w:uiPriority w:val="0"/>
    <w:pPr>
      <w:keepNext/>
      <w:keepLines/>
      <w:numPr>
        <w:ilvl w:val="2"/>
        <w:numId w:val="2"/>
      </w:numPr>
      <w:adjustRightInd/>
      <w:spacing w:before="280" w:after="290" w:line="376" w:lineRule="auto"/>
      <w:jc w:val="both"/>
      <w:textAlignment w:val="auto"/>
      <w:outlineLvl w:val="3"/>
    </w:pPr>
    <w:rPr>
      <w:rFonts w:ascii="Arial" w:hAnsi="Arial" w:eastAsia="黑体"/>
      <w:b/>
      <w:bCs/>
      <w:kern w:val="2"/>
      <w:sz w:val="28"/>
      <w:szCs w:val="28"/>
    </w:rPr>
  </w:style>
  <w:style w:type="paragraph" w:styleId="6">
    <w:name w:val="heading 5"/>
    <w:basedOn w:val="1"/>
    <w:next w:val="1"/>
    <w:link w:val="53"/>
    <w:qFormat/>
    <w:uiPriority w:val="0"/>
    <w:pPr>
      <w:keepNext/>
      <w:keepLines/>
      <w:numPr>
        <w:ilvl w:val="3"/>
        <w:numId w:val="2"/>
      </w:numPr>
      <w:spacing w:before="280" w:after="290" w:line="376" w:lineRule="atLeast"/>
      <w:outlineLvl w:val="4"/>
    </w:pPr>
    <w:rPr>
      <w:b/>
      <w:bCs/>
      <w:sz w:val="28"/>
      <w:szCs w:val="28"/>
    </w:rPr>
  </w:style>
  <w:style w:type="paragraph" w:styleId="7">
    <w:name w:val="heading 6"/>
    <w:basedOn w:val="1"/>
    <w:next w:val="1"/>
    <w:link w:val="54"/>
    <w:qFormat/>
    <w:uiPriority w:val="0"/>
    <w:pPr>
      <w:keepNext/>
      <w:keepLines/>
      <w:widowControl/>
      <w:tabs>
        <w:tab w:val="left" w:pos="1440"/>
      </w:tabs>
      <w:adjustRightInd/>
      <w:spacing w:before="240" w:after="64" w:line="320" w:lineRule="auto"/>
      <w:ind w:left="1152" w:hanging="1152"/>
      <w:textAlignment w:val="auto"/>
      <w:outlineLvl w:val="5"/>
    </w:pPr>
    <w:rPr>
      <w:rFonts w:ascii="Arial" w:hAnsi="Arial" w:eastAsia="黑体"/>
      <w:b/>
      <w:bCs/>
      <w:szCs w:val="24"/>
    </w:rPr>
  </w:style>
  <w:style w:type="paragraph" w:styleId="8">
    <w:name w:val="heading 7"/>
    <w:basedOn w:val="1"/>
    <w:next w:val="1"/>
    <w:link w:val="55"/>
    <w:qFormat/>
    <w:uiPriority w:val="0"/>
    <w:pPr>
      <w:keepNext/>
      <w:keepLines/>
      <w:widowControl/>
      <w:tabs>
        <w:tab w:val="left" w:pos="2520"/>
      </w:tabs>
      <w:adjustRightInd/>
      <w:spacing w:before="240" w:after="64" w:line="320" w:lineRule="auto"/>
      <w:ind w:left="1296" w:hanging="1296"/>
      <w:textAlignment w:val="auto"/>
      <w:outlineLvl w:val="6"/>
    </w:pPr>
    <w:rPr>
      <w:rFonts w:ascii="Times New Roman"/>
      <w:b/>
      <w:bCs/>
      <w:szCs w:val="24"/>
    </w:rPr>
  </w:style>
  <w:style w:type="paragraph" w:styleId="9">
    <w:name w:val="heading 8"/>
    <w:basedOn w:val="1"/>
    <w:next w:val="1"/>
    <w:link w:val="56"/>
    <w:qFormat/>
    <w:uiPriority w:val="0"/>
    <w:pPr>
      <w:keepNext/>
      <w:keepLines/>
      <w:widowControl/>
      <w:tabs>
        <w:tab w:val="left" w:pos="1440"/>
      </w:tabs>
      <w:adjustRightInd/>
      <w:spacing w:before="240" w:after="64" w:line="320" w:lineRule="auto"/>
      <w:ind w:left="1440" w:hanging="1440"/>
      <w:textAlignment w:val="auto"/>
      <w:outlineLvl w:val="7"/>
    </w:pPr>
    <w:rPr>
      <w:rFonts w:ascii="Arial" w:hAnsi="Arial" w:eastAsia="黑体"/>
      <w:szCs w:val="24"/>
    </w:rPr>
  </w:style>
  <w:style w:type="paragraph" w:styleId="10">
    <w:name w:val="heading 9"/>
    <w:basedOn w:val="1"/>
    <w:next w:val="1"/>
    <w:link w:val="57"/>
    <w:qFormat/>
    <w:uiPriority w:val="0"/>
    <w:pPr>
      <w:keepNext/>
      <w:keepLines/>
      <w:widowControl/>
      <w:tabs>
        <w:tab w:val="left" w:pos="1584"/>
      </w:tabs>
      <w:adjustRightInd/>
      <w:spacing w:before="240" w:after="64" w:line="320" w:lineRule="auto"/>
      <w:ind w:left="1584" w:hanging="1584"/>
      <w:textAlignment w:val="auto"/>
      <w:outlineLvl w:val="8"/>
    </w:pPr>
    <w:rPr>
      <w:rFonts w:ascii="Arial" w:hAnsi="Arial" w:eastAsia="黑体"/>
      <w:sz w:val="21"/>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jc w:val="both"/>
      <w:textAlignment w:val="auto"/>
    </w:pPr>
    <w:rPr>
      <w:rFonts w:ascii="Calibri" w:hAnsi="Calibri"/>
      <w:kern w:val="2"/>
      <w:sz w:val="21"/>
      <w:szCs w:val="22"/>
    </w:rPr>
  </w:style>
  <w:style w:type="paragraph" w:styleId="12">
    <w:name w:val="Normal Indent"/>
    <w:basedOn w:val="1"/>
    <w:qFormat/>
    <w:uiPriority w:val="0"/>
    <w:pPr>
      <w:adjustRightInd/>
      <w:spacing w:line="240" w:lineRule="auto"/>
      <w:ind w:firstLine="420" w:firstLineChars="200"/>
      <w:jc w:val="both"/>
      <w:textAlignment w:val="auto"/>
    </w:pPr>
    <w:rPr>
      <w:rFonts w:ascii="Times New Roman"/>
      <w:kern w:val="2"/>
      <w:sz w:val="21"/>
    </w:rPr>
  </w:style>
  <w:style w:type="paragraph" w:styleId="13">
    <w:name w:val="caption"/>
    <w:basedOn w:val="1"/>
    <w:next w:val="1"/>
    <w:qFormat/>
    <w:uiPriority w:val="0"/>
    <w:pPr>
      <w:spacing w:before="152" w:after="160"/>
    </w:pPr>
    <w:rPr>
      <w:rFonts w:ascii="Arial" w:hAnsi="Arial" w:eastAsia="黑体"/>
    </w:rPr>
  </w:style>
  <w:style w:type="paragraph" w:styleId="14">
    <w:name w:val="Document Map"/>
    <w:basedOn w:val="1"/>
    <w:link w:val="65"/>
    <w:qFormat/>
    <w:uiPriority w:val="0"/>
    <w:rPr>
      <w:sz w:val="18"/>
      <w:szCs w:val="18"/>
    </w:rPr>
  </w:style>
  <w:style w:type="paragraph" w:styleId="15">
    <w:name w:val="annotation text"/>
    <w:basedOn w:val="1"/>
    <w:link w:val="63"/>
    <w:qFormat/>
    <w:uiPriority w:val="0"/>
  </w:style>
  <w:style w:type="paragraph" w:styleId="16">
    <w:name w:val="Body Text 3"/>
    <w:basedOn w:val="1"/>
    <w:link w:val="89"/>
    <w:qFormat/>
    <w:uiPriority w:val="0"/>
    <w:pPr>
      <w:spacing w:line="360" w:lineRule="auto"/>
    </w:pPr>
    <w:rPr>
      <w:rFonts w:hAnsi="宋体"/>
      <w:b/>
    </w:rPr>
  </w:style>
  <w:style w:type="paragraph" w:styleId="17">
    <w:name w:val="Body Text"/>
    <w:basedOn w:val="1"/>
    <w:link w:val="93"/>
    <w:autoRedefine/>
    <w:qFormat/>
    <w:uiPriority w:val="0"/>
    <w:pPr>
      <w:spacing w:line="240" w:lineRule="auto"/>
      <w:ind w:right="-120"/>
    </w:pPr>
    <w:rPr>
      <w:rFonts w:ascii="幼圆" w:eastAsia="幼圆"/>
    </w:rPr>
  </w:style>
  <w:style w:type="paragraph" w:styleId="18">
    <w:name w:val="Body Text Indent"/>
    <w:basedOn w:val="1"/>
    <w:link w:val="85"/>
    <w:autoRedefine/>
    <w:qFormat/>
    <w:uiPriority w:val="0"/>
    <w:pPr>
      <w:spacing w:line="360" w:lineRule="auto"/>
      <w:ind w:firstLine="492"/>
    </w:pPr>
  </w:style>
  <w:style w:type="paragraph" w:styleId="19">
    <w:name w:val="Block Text"/>
    <w:basedOn w:val="1"/>
    <w:qFormat/>
    <w:uiPriority w:val="0"/>
    <w:pPr>
      <w:spacing w:line="240" w:lineRule="auto"/>
      <w:ind w:left="420" w:right="33"/>
    </w:pPr>
    <w:rPr>
      <w:rFonts w:ascii="Times New Roman"/>
    </w:rPr>
  </w:style>
  <w:style w:type="paragraph" w:styleId="20">
    <w:name w:val="toc 5"/>
    <w:basedOn w:val="1"/>
    <w:next w:val="1"/>
    <w:autoRedefine/>
    <w:unhideWhenUsed/>
    <w:qFormat/>
    <w:uiPriority w:val="39"/>
    <w:pPr>
      <w:adjustRightInd/>
      <w:spacing w:line="240" w:lineRule="auto"/>
      <w:ind w:left="1680" w:leftChars="800"/>
      <w:jc w:val="both"/>
      <w:textAlignment w:val="auto"/>
    </w:pPr>
    <w:rPr>
      <w:rFonts w:ascii="Calibri" w:hAnsi="Calibri"/>
      <w:kern w:val="2"/>
      <w:sz w:val="21"/>
      <w:szCs w:val="22"/>
    </w:rPr>
  </w:style>
  <w:style w:type="paragraph" w:styleId="21">
    <w:name w:val="toc 3"/>
    <w:basedOn w:val="1"/>
    <w:next w:val="1"/>
    <w:autoRedefine/>
    <w:qFormat/>
    <w:uiPriority w:val="39"/>
    <w:pPr>
      <w:tabs>
        <w:tab w:val="left" w:pos="1680"/>
        <w:tab w:val="right" w:leader="dot" w:pos="9345"/>
      </w:tabs>
      <w:ind w:left="960" w:leftChars="400"/>
    </w:pPr>
    <w:rPr>
      <w:rFonts w:hAnsi="宋体"/>
      <w:b/>
      <w:sz w:val="21"/>
    </w:rPr>
  </w:style>
  <w:style w:type="paragraph" w:styleId="22">
    <w:name w:val="Plain Text"/>
    <w:basedOn w:val="1"/>
    <w:link w:val="66"/>
    <w:autoRedefine/>
    <w:qFormat/>
    <w:uiPriority w:val="99"/>
    <w:pPr>
      <w:adjustRightInd/>
      <w:spacing w:line="240" w:lineRule="auto"/>
      <w:jc w:val="both"/>
      <w:textAlignment w:val="auto"/>
    </w:pPr>
    <w:rPr>
      <w:rFonts w:hAnsi="Courier New"/>
      <w:kern w:val="2"/>
      <w:sz w:val="21"/>
    </w:rPr>
  </w:style>
  <w:style w:type="paragraph" w:styleId="23">
    <w:name w:val="toc 8"/>
    <w:basedOn w:val="1"/>
    <w:next w:val="1"/>
    <w:unhideWhenUsed/>
    <w:qFormat/>
    <w:uiPriority w:val="39"/>
    <w:pPr>
      <w:adjustRightInd/>
      <w:spacing w:line="240" w:lineRule="auto"/>
      <w:ind w:left="2940" w:leftChars="1400"/>
      <w:jc w:val="both"/>
      <w:textAlignment w:val="auto"/>
    </w:pPr>
    <w:rPr>
      <w:rFonts w:ascii="Calibri" w:hAnsi="Calibri"/>
      <w:kern w:val="2"/>
      <w:sz w:val="21"/>
      <w:szCs w:val="22"/>
    </w:rPr>
  </w:style>
  <w:style w:type="paragraph" w:styleId="24">
    <w:name w:val="Date"/>
    <w:basedOn w:val="1"/>
    <w:next w:val="1"/>
    <w:link w:val="60"/>
    <w:autoRedefine/>
    <w:qFormat/>
    <w:uiPriority w:val="0"/>
    <w:pPr>
      <w:jc w:val="both"/>
    </w:pPr>
  </w:style>
  <w:style w:type="paragraph" w:styleId="25">
    <w:name w:val="Body Text Indent 2"/>
    <w:basedOn w:val="1"/>
    <w:link w:val="90"/>
    <w:qFormat/>
    <w:uiPriority w:val="0"/>
    <w:pPr>
      <w:adjustRightInd/>
      <w:spacing w:line="240" w:lineRule="auto"/>
      <w:ind w:firstLine="560" w:firstLineChars="200"/>
      <w:jc w:val="both"/>
      <w:textAlignment w:val="auto"/>
    </w:pPr>
    <w:rPr>
      <w:rFonts w:hAnsi="宋体"/>
      <w:kern w:val="2"/>
      <w:sz w:val="28"/>
      <w:szCs w:val="24"/>
    </w:rPr>
  </w:style>
  <w:style w:type="paragraph" w:styleId="26">
    <w:name w:val="Balloon Text"/>
    <w:basedOn w:val="1"/>
    <w:link w:val="87"/>
    <w:autoRedefine/>
    <w:qFormat/>
    <w:uiPriority w:val="0"/>
    <w:rPr>
      <w:sz w:val="18"/>
      <w:szCs w:val="18"/>
    </w:rPr>
  </w:style>
  <w:style w:type="paragraph" w:styleId="27">
    <w:name w:val="footer"/>
    <w:basedOn w:val="1"/>
    <w:link w:val="59"/>
    <w:autoRedefine/>
    <w:qFormat/>
    <w:uiPriority w:val="99"/>
    <w:pPr>
      <w:tabs>
        <w:tab w:val="center" w:pos="4153"/>
        <w:tab w:val="right" w:pos="8306"/>
      </w:tabs>
      <w:spacing w:line="240" w:lineRule="atLeast"/>
    </w:pPr>
    <w:rPr>
      <w:sz w:val="18"/>
    </w:rPr>
  </w:style>
  <w:style w:type="paragraph" w:styleId="28">
    <w:name w:val="header"/>
    <w:basedOn w:val="1"/>
    <w:link w:val="58"/>
    <w:autoRedefine/>
    <w:qFormat/>
    <w:uiPriority w:val="0"/>
    <w:pPr>
      <w:pBdr>
        <w:bottom w:val="single" w:color="auto" w:sz="6" w:space="1"/>
      </w:pBdr>
      <w:tabs>
        <w:tab w:val="center" w:pos="4153"/>
        <w:tab w:val="right" w:pos="8306"/>
      </w:tabs>
      <w:spacing w:line="240" w:lineRule="atLeast"/>
      <w:jc w:val="center"/>
    </w:pPr>
    <w:rPr>
      <w:sz w:val="18"/>
    </w:rPr>
  </w:style>
  <w:style w:type="paragraph" w:styleId="29">
    <w:name w:val="toc 1"/>
    <w:basedOn w:val="1"/>
    <w:next w:val="1"/>
    <w:link w:val="101"/>
    <w:autoRedefine/>
    <w:qFormat/>
    <w:uiPriority w:val="39"/>
    <w:pPr>
      <w:tabs>
        <w:tab w:val="right" w:leader="dot" w:pos="9072"/>
      </w:tabs>
      <w:spacing w:line="360" w:lineRule="auto"/>
      <w:jc w:val="both"/>
    </w:pPr>
    <w:rPr>
      <w:b/>
    </w:rPr>
  </w:style>
  <w:style w:type="paragraph" w:styleId="30">
    <w:name w:val="toc 4"/>
    <w:basedOn w:val="1"/>
    <w:next w:val="1"/>
    <w:autoRedefine/>
    <w:unhideWhenUsed/>
    <w:qFormat/>
    <w:uiPriority w:val="39"/>
    <w:pPr>
      <w:adjustRightInd/>
      <w:spacing w:line="240" w:lineRule="auto"/>
      <w:ind w:left="1260" w:leftChars="600"/>
      <w:jc w:val="both"/>
      <w:textAlignment w:val="auto"/>
    </w:pPr>
    <w:rPr>
      <w:rFonts w:ascii="Calibri" w:hAnsi="Calibri"/>
      <w:kern w:val="2"/>
      <w:sz w:val="21"/>
      <w:szCs w:val="22"/>
    </w:rPr>
  </w:style>
  <w:style w:type="paragraph" w:styleId="31">
    <w:name w:val="toc 6"/>
    <w:basedOn w:val="1"/>
    <w:next w:val="1"/>
    <w:unhideWhenUsed/>
    <w:qFormat/>
    <w:uiPriority w:val="39"/>
    <w:pPr>
      <w:adjustRightInd/>
      <w:spacing w:line="240" w:lineRule="auto"/>
      <w:ind w:left="2100" w:leftChars="1000"/>
      <w:jc w:val="both"/>
      <w:textAlignment w:val="auto"/>
    </w:pPr>
    <w:rPr>
      <w:rFonts w:ascii="Calibri" w:hAnsi="Calibri"/>
      <w:kern w:val="2"/>
      <w:sz w:val="21"/>
      <w:szCs w:val="22"/>
    </w:rPr>
  </w:style>
  <w:style w:type="paragraph" w:styleId="32">
    <w:name w:val="Body Text Indent 3"/>
    <w:basedOn w:val="1"/>
    <w:link w:val="91"/>
    <w:autoRedefine/>
    <w:qFormat/>
    <w:uiPriority w:val="0"/>
    <w:pPr>
      <w:ind w:firstLine="560" w:firstLineChars="200"/>
    </w:pPr>
    <w:rPr>
      <w:rFonts w:hAnsi="宋体"/>
      <w:sz w:val="28"/>
    </w:rPr>
  </w:style>
  <w:style w:type="paragraph" w:styleId="33">
    <w:name w:val="toc 2"/>
    <w:basedOn w:val="1"/>
    <w:next w:val="1"/>
    <w:qFormat/>
    <w:uiPriority w:val="39"/>
    <w:pPr>
      <w:tabs>
        <w:tab w:val="left" w:pos="993"/>
        <w:tab w:val="right" w:leader="dot" w:pos="9072"/>
      </w:tabs>
      <w:ind w:left="1"/>
    </w:pPr>
  </w:style>
  <w:style w:type="paragraph" w:styleId="34">
    <w:name w:val="toc 9"/>
    <w:basedOn w:val="1"/>
    <w:next w:val="1"/>
    <w:autoRedefine/>
    <w:unhideWhenUsed/>
    <w:qFormat/>
    <w:uiPriority w:val="39"/>
    <w:pPr>
      <w:adjustRightInd/>
      <w:spacing w:line="240" w:lineRule="auto"/>
      <w:ind w:left="3360" w:leftChars="1600"/>
      <w:jc w:val="both"/>
      <w:textAlignment w:val="auto"/>
    </w:pPr>
    <w:rPr>
      <w:rFonts w:ascii="Calibri" w:hAnsi="Calibri"/>
      <w:kern w:val="2"/>
      <w:sz w:val="21"/>
      <w:szCs w:val="22"/>
    </w:rPr>
  </w:style>
  <w:style w:type="paragraph" w:styleId="35">
    <w:name w:val="Body Text 2"/>
    <w:basedOn w:val="1"/>
    <w:link w:val="88"/>
    <w:autoRedefine/>
    <w:qFormat/>
    <w:uiPriority w:val="0"/>
    <w:pPr>
      <w:adjustRightInd/>
      <w:spacing w:line="360" w:lineRule="auto"/>
      <w:jc w:val="both"/>
      <w:textAlignment w:val="auto"/>
    </w:pPr>
    <w:rPr>
      <w:rFonts w:hAnsi="宋体"/>
      <w:color w:val="000000"/>
      <w:kern w:val="2"/>
      <w:sz w:val="28"/>
    </w:rPr>
  </w:style>
  <w:style w:type="paragraph" w:styleId="36">
    <w:name w:val="Normal (Web)"/>
    <w:basedOn w:val="1"/>
    <w:autoRedefine/>
    <w:qFormat/>
    <w:uiPriority w:val="0"/>
    <w:pPr>
      <w:widowControl/>
      <w:adjustRightInd/>
      <w:spacing w:before="100" w:beforeAutospacing="1" w:after="100" w:afterAutospacing="1" w:line="240" w:lineRule="auto"/>
      <w:textAlignment w:val="auto"/>
    </w:pPr>
    <w:rPr>
      <w:rFonts w:hAnsi="宋体"/>
      <w:szCs w:val="24"/>
    </w:rPr>
  </w:style>
  <w:style w:type="paragraph" w:styleId="37">
    <w:name w:val="Title"/>
    <w:basedOn w:val="1"/>
    <w:link w:val="92"/>
    <w:autoRedefine/>
    <w:qFormat/>
    <w:uiPriority w:val="0"/>
    <w:pPr>
      <w:adjustRightInd/>
      <w:spacing w:before="120" w:after="60" w:line="240" w:lineRule="auto"/>
      <w:jc w:val="center"/>
      <w:textAlignment w:val="auto"/>
    </w:pPr>
    <w:rPr>
      <w:rFonts w:ascii="Arial" w:hAnsi="Arial"/>
      <w:b/>
      <w:kern w:val="2"/>
      <w:sz w:val="44"/>
    </w:rPr>
  </w:style>
  <w:style w:type="paragraph" w:styleId="38">
    <w:name w:val="annotation subject"/>
    <w:basedOn w:val="15"/>
    <w:next w:val="15"/>
    <w:link w:val="64"/>
    <w:qFormat/>
    <w:uiPriority w:val="0"/>
    <w:rPr>
      <w:b/>
      <w:bCs/>
    </w:rPr>
  </w:style>
  <w:style w:type="paragraph" w:styleId="39">
    <w:name w:val="Body Text First Indent"/>
    <w:basedOn w:val="17"/>
    <w:link w:val="94"/>
    <w:autoRedefine/>
    <w:qFormat/>
    <w:uiPriority w:val="0"/>
    <w:pPr>
      <w:adjustRightInd/>
      <w:spacing w:after="120"/>
      <w:ind w:right="0" w:firstLine="420"/>
      <w:jc w:val="both"/>
      <w:textAlignment w:val="auto"/>
    </w:pPr>
    <w:rPr>
      <w:kern w:val="2"/>
      <w:sz w:val="21"/>
    </w:rPr>
  </w:style>
  <w:style w:type="table" w:styleId="41">
    <w:name w:val="Table Grid"/>
    <w:basedOn w:val="40"/>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43">
    <w:name w:val="Strong"/>
    <w:basedOn w:val="42"/>
    <w:autoRedefine/>
    <w:qFormat/>
    <w:uiPriority w:val="0"/>
    <w:rPr>
      <w:b/>
    </w:rPr>
  </w:style>
  <w:style w:type="character" w:styleId="44">
    <w:name w:val="page number"/>
    <w:basedOn w:val="42"/>
    <w:qFormat/>
    <w:uiPriority w:val="0"/>
  </w:style>
  <w:style w:type="character" w:styleId="45">
    <w:name w:val="FollowedHyperlink"/>
    <w:qFormat/>
    <w:uiPriority w:val="99"/>
    <w:rPr>
      <w:color w:val="800080"/>
      <w:u w:val="single"/>
    </w:rPr>
  </w:style>
  <w:style w:type="character" w:styleId="46">
    <w:name w:val="line number"/>
    <w:basedOn w:val="42"/>
    <w:semiHidden/>
    <w:unhideWhenUsed/>
    <w:qFormat/>
    <w:uiPriority w:val="0"/>
  </w:style>
  <w:style w:type="character" w:styleId="47">
    <w:name w:val="Hyperlink"/>
    <w:autoRedefine/>
    <w:qFormat/>
    <w:uiPriority w:val="99"/>
    <w:rPr>
      <w:color w:val="0000FF"/>
      <w:u w:val="single"/>
    </w:rPr>
  </w:style>
  <w:style w:type="character" w:styleId="48">
    <w:name w:val="annotation reference"/>
    <w:autoRedefine/>
    <w:qFormat/>
    <w:uiPriority w:val="0"/>
    <w:rPr>
      <w:sz w:val="21"/>
      <w:szCs w:val="21"/>
    </w:rPr>
  </w:style>
  <w:style w:type="character" w:customStyle="1" w:styleId="49">
    <w:name w:val="标题 1 字符"/>
    <w:link w:val="2"/>
    <w:autoRedefine/>
    <w:qFormat/>
    <w:uiPriority w:val="0"/>
    <w:rPr>
      <w:rFonts w:ascii="黑体" w:eastAsia="黑体"/>
      <w:b/>
      <w:sz w:val="21"/>
    </w:rPr>
  </w:style>
  <w:style w:type="character" w:customStyle="1" w:styleId="50">
    <w:name w:val="标题 2 字符"/>
    <w:link w:val="3"/>
    <w:autoRedefine/>
    <w:qFormat/>
    <w:uiPriority w:val="0"/>
    <w:rPr>
      <w:rFonts w:ascii="Arial" w:hAnsi="Arial" w:eastAsia="黑体"/>
      <w:b/>
      <w:bCs/>
      <w:kern w:val="2"/>
      <w:sz w:val="32"/>
      <w:szCs w:val="32"/>
    </w:rPr>
  </w:style>
  <w:style w:type="character" w:customStyle="1" w:styleId="51">
    <w:name w:val="标题 3 字符"/>
    <w:link w:val="4"/>
    <w:autoRedefine/>
    <w:qFormat/>
    <w:uiPriority w:val="0"/>
    <w:rPr>
      <w:b/>
      <w:bCs/>
      <w:kern w:val="2"/>
      <w:sz w:val="32"/>
      <w:szCs w:val="32"/>
    </w:rPr>
  </w:style>
  <w:style w:type="character" w:customStyle="1" w:styleId="52">
    <w:name w:val="标题 4 字符"/>
    <w:link w:val="5"/>
    <w:autoRedefine/>
    <w:qFormat/>
    <w:uiPriority w:val="0"/>
    <w:rPr>
      <w:rFonts w:ascii="Arial" w:hAnsi="Arial" w:eastAsia="黑体"/>
      <w:b/>
      <w:bCs/>
      <w:kern w:val="2"/>
      <w:sz w:val="28"/>
      <w:szCs w:val="28"/>
    </w:rPr>
  </w:style>
  <w:style w:type="character" w:customStyle="1" w:styleId="53">
    <w:name w:val="标题 5 字符"/>
    <w:link w:val="6"/>
    <w:autoRedefine/>
    <w:qFormat/>
    <w:uiPriority w:val="0"/>
    <w:rPr>
      <w:rFonts w:ascii="宋体"/>
      <w:b/>
      <w:bCs/>
      <w:sz w:val="28"/>
      <w:szCs w:val="28"/>
    </w:rPr>
  </w:style>
  <w:style w:type="character" w:customStyle="1" w:styleId="54">
    <w:name w:val="标题 6 字符"/>
    <w:link w:val="7"/>
    <w:autoRedefine/>
    <w:qFormat/>
    <w:uiPriority w:val="0"/>
    <w:rPr>
      <w:rFonts w:ascii="Arial" w:hAnsi="Arial" w:eastAsia="黑体"/>
      <w:b/>
      <w:bCs/>
      <w:sz w:val="24"/>
      <w:szCs w:val="24"/>
    </w:rPr>
  </w:style>
  <w:style w:type="character" w:customStyle="1" w:styleId="55">
    <w:name w:val="标题 7 字符"/>
    <w:link w:val="8"/>
    <w:autoRedefine/>
    <w:qFormat/>
    <w:uiPriority w:val="0"/>
    <w:rPr>
      <w:b/>
      <w:bCs/>
      <w:sz w:val="24"/>
      <w:szCs w:val="24"/>
    </w:rPr>
  </w:style>
  <w:style w:type="character" w:customStyle="1" w:styleId="56">
    <w:name w:val="标题 8 字符"/>
    <w:link w:val="9"/>
    <w:autoRedefine/>
    <w:qFormat/>
    <w:uiPriority w:val="0"/>
    <w:rPr>
      <w:rFonts w:ascii="Arial" w:hAnsi="Arial" w:eastAsia="黑体"/>
      <w:sz w:val="24"/>
      <w:szCs w:val="24"/>
    </w:rPr>
  </w:style>
  <w:style w:type="character" w:customStyle="1" w:styleId="57">
    <w:name w:val="标题 9 字符"/>
    <w:link w:val="10"/>
    <w:autoRedefine/>
    <w:qFormat/>
    <w:uiPriority w:val="0"/>
    <w:rPr>
      <w:rFonts w:ascii="Arial" w:hAnsi="Arial" w:eastAsia="黑体"/>
      <w:sz w:val="21"/>
      <w:szCs w:val="21"/>
    </w:rPr>
  </w:style>
  <w:style w:type="character" w:customStyle="1" w:styleId="58">
    <w:name w:val="页眉 字符"/>
    <w:link w:val="28"/>
    <w:autoRedefine/>
    <w:qFormat/>
    <w:uiPriority w:val="0"/>
    <w:rPr>
      <w:rFonts w:ascii="宋体"/>
      <w:sz w:val="18"/>
    </w:rPr>
  </w:style>
  <w:style w:type="character" w:customStyle="1" w:styleId="59">
    <w:name w:val="页脚 字符"/>
    <w:link w:val="27"/>
    <w:autoRedefine/>
    <w:qFormat/>
    <w:uiPriority w:val="99"/>
    <w:rPr>
      <w:rFonts w:ascii="宋体"/>
      <w:sz w:val="18"/>
    </w:rPr>
  </w:style>
  <w:style w:type="character" w:customStyle="1" w:styleId="60">
    <w:name w:val="日期 字符"/>
    <w:link w:val="24"/>
    <w:autoRedefine/>
    <w:qFormat/>
    <w:uiPriority w:val="0"/>
    <w:rPr>
      <w:rFonts w:ascii="宋体"/>
      <w:sz w:val="24"/>
    </w:rPr>
  </w:style>
  <w:style w:type="paragraph" w:customStyle="1" w:styleId="61">
    <w:name w:val="封面样式1"/>
    <w:basedOn w:val="1"/>
    <w:autoRedefine/>
    <w:qFormat/>
    <w:uiPriority w:val="0"/>
    <w:pPr>
      <w:adjustRightInd/>
      <w:spacing w:line="440" w:lineRule="exact"/>
      <w:ind w:firstLine="480" w:firstLineChars="200"/>
      <w:jc w:val="both"/>
      <w:textAlignment w:val="auto"/>
    </w:pPr>
    <w:rPr>
      <w:rFonts w:ascii="华文细黑" w:hAnsi="华文细黑" w:cs="Arial"/>
      <w:color w:val="000000"/>
      <w:szCs w:val="28"/>
    </w:rPr>
  </w:style>
  <w:style w:type="paragraph" w:customStyle="1" w:styleId="62">
    <w:name w:val="落款"/>
    <w:basedOn w:val="1"/>
    <w:autoRedefine/>
    <w:qFormat/>
    <w:uiPriority w:val="0"/>
    <w:pPr>
      <w:adjustRightInd/>
      <w:spacing w:line="440" w:lineRule="exact"/>
      <w:ind w:firstLine="480" w:firstLineChars="200"/>
      <w:jc w:val="both"/>
      <w:textAlignment w:val="auto"/>
    </w:pPr>
    <w:rPr>
      <w:rFonts w:ascii="华文细黑" w:hAnsi="华文细黑" w:cs="Arial"/>
      <w:color w:val="000000"/>
      <w:szCs w:val="28"/>
    </w:rPr>
  </w:style>
  <w:style w:type="character" w:customStyle="1" w:styleId="63">
    <w:name w:val="批注文字 字符"/>
    <w:link w:val="15"/>
    <w:autoRedefine/>
    <w:qFormat/>
    <w:uiPriority w:val="0"/>
    <w:rPr>
      <w:rFonts w:ascii="宋体"/>
      <w:sz w:val="24"/>
    </w:rPr>
  </w:style>
  <w:style w:type="character" w:customStyle="1" w:styleId="64">
    <w:name w:val="批注主题 字符"/>
    <w:link w:val="38"/>
    <w:autoRedefine/>
    <w:qFormat/>
    <w:uiPriority w:val="0"/>
    <w:rPr>
      <w:rFonts w:ascii="宋体"/>
      <w:b/>
      <w:bCs/>
      <w:sz w:val="24"/>
    </w:rPr>
  </w:style>
  <w:style w:type="character" w:customStyle="1" w:styleId="65">
    <w:name w:val="文档结构图 字符"/>
    <w:link w:val="14"/>
    <w:autoRedefine/>
    <w:qFormat/>
    <w:uiPriority w:val="0"/>
    <w:rPr>
      <w:rFonts w:ascii="宋体"/>
      <w:sz w:val="18"/>
      <w:szCs w:val="18"/>
    </w:rPr>
  </w:style>
  <w:style w:type="character" w:customStyle="1" w:styleId="66">
    <w:name w:val="纯文本 字符"/>
    <w:link w:val="22"/>
    <w:autoRedefine/>
    <w:qFormat/>
    <w:uiPriority w:val="99"/>
    <w:rPr>
      <w:rFonts w:ascii="宋体" w:hAnsi="Courier New"/>
      <w:kern w:val="2"/>
      <w:sz w:val="21"/>
    </w:rPr>
  </w:style>
  <w:style w:type="paragraph" w:styleId="67">
    <w:name w:val="List Paragraph"/>
    <w:basedOn w:val="1"/>
    <w:autoRedefine/>
    <w:qFormat/>
    <w:uiPriority w:val="34"/>
    <w:pPr>
      <w:adjustRightInd/>
      <w:spacing w:line="240" w:lineRule="auto"/>
      <w:ind w:firstLine="420" w:firstLineChars="200"/>
      <w:jc w:val="both"/>
      <w:textAlignment w:val="auto"/>
    </w:pPr>
    <w:rPr>
      <w:rFonts w:ascii="Calibri" w:hAnsi="Calibri"/>
      <w:kern w:val="2"/>
      <w:sz w:val="21"/>
      <w:szCs w:val="22"/>
    </w:rPr>
  </w:style>
  <w:style w:type="paragraph" w:styleId="68">
    <w:name w:val="No Spacing"/>
    <w:link w:val="69"/>
    <w:autoRedefine/>
    <w:qFormat/>
    <w:uiPriority w:val="1"/>
    <w:rPr>
      <w:rFonts w:ascii="Calibri" w:hAnsi="Calibri" w:eastAsia="宋体" w:cs="Times New Roman"/>
      <w:sz w:val="22"/>
      <w:szCs w:val="22"/>
      <w:lang w:val="en-US" w:eastAsia="zh-CN" w:bidi="ar-SA"/>
    </w:rPr>
  </w:style>
  <w:style w:type="character" w:customStyle="1" w:styleId="69">
    <w:name w:val="无间隔 字符"/>
    <w:link w:val="68"/>
    <w:autoRedefine/>
    <w:qFormat/>
    <w:uiPriority w:val="1"/>
    <w:rPr>
      <w:rFonts w:ascii="Calibri" w:hAnsi="Calibri"/>
      <w:sz w:val="22"/>
      <w:szCs w:val="22"/>
      <w:lang w:bidi="ar-SA"/>
    </w:rPr>
  </w:style>
  <w:style w:type="paragraph" w:customStyle="1" w:styleId="70">
    <w:name w:val="TOC 标题1"/>
    <w:basedOn w:val="2"/>
    <w:next w:val="1"/>
    <w:autoRedefine/>
    <w:unhideWhenUsed/>
    <w:qFormat/>
    <w:uiPriority w:val="39"/>
    <w:pPr>
      <w:keepLines/>
      <w:widowControl/>
      <w:adjustRightInd/>
      <w:spacing w:before="480" w:line="276" w:lineRule="auto"/>
      <w:jc w:val="left"/>
      <w:textAlignment w:val="auto"/>
      <w:outlineLvl w:val="9"/>
    </w:pPr>
    <w:rPr>
      <w:rFonts w:ascii="Cambria" w:hAnsi="Cambria" w:eastAsia="宋体"/>
      <w:bCs/>
      <w:color w:val="365F91"/>
      <w:sz w:val="28"/>
      <w:szCs w:val="28"/>
    </w:rPr>
  </w:style>
  <w:style w:type="paragraph" w:customStyle="1" w:styleId="71">
    <w:name w:val="注释"/>
    <w:basedOn w:val="18"/>
    <w:autoRedefine/>
    <w:qFormat/>
    <w:uiPriority w:val="0"/>
    <w:pPr>
      <w:adjustRightInd/>
      <w:spacing w:beforeLines="100" w:afterLines="100" w:line="240" w:lineRule="auto"/>
      <w:ind w:firstLine="0"/>
      <w:jc w:val="center"/>
      <w:textAlignment w:val="auto"/>
    </w:pPr>
    <w:rPr>
      <w:rFonts w:ascii="仿宋_GB2312" w:eastAsia="仿宋_GB2312"/>
      <w:kern w:val="2"/>
      <w:sz w:val="36"/>
      <w:szCs w:val="24"/>
    </w:rPr>
  </w:style>
  <w:style w:type="paragraph" w:customStyle="1" w:styleId="72">
    <w:name w:val="Char Char"/>
    <w:basedOn w:val="14"/>
    <w:autoRedefine/>
    <w:qFormat/>
    <w:uiPriority w:val="0"/>
    <w:pPr>
      <w:shd w:val="clear" w:color="auto" w:fill="000080"/>
      <w:spacing w:line="436" w:lineRule="exact"/>
      <w:ind w:left="357"/>
      <w:textAlignment w:val="auto"/>
      <w:outlineLvl w:val="3"/>
    </w:pPr>
    <w:rPr>
      <w:rFonts w:ascii="Times New Roman"/>
      <w:kern w:val="2"/>
      <w:sz w:val="21"/>
      <w:szCs w:val="20"/>
    </w:rPr>
  </w:style>
  <w:style w:type="paragraph" w:customStyle="1" w:styleId="73">
    <w:name w:val="Blockquote"/>
    <w:basedOn w:val="1"/>
    <w:autoRedefine/>
    <w:qFormat/>
    <w:uiPriority w:val="0"/>
    <w:pPr>
      <w:autoSpaceDE w:val="0"/>
      <w:autoSpaceDN w:val="0"/>
      <w:spacing w:before="100" w:after="100" w:line="240" w:lineRule="auto"/>
      <w:ind w:left="360" w:right="360"/>
      <w:textAlignment w:val="auto"/>
    </w:pPr>
    <w:rPr>
      <w:rFonts w:ascii="Times New Roman"/>
    </w:rPr>
  </w:style>
  <w:style w:type="paragraph" w:customStyle="1" w:styleId="74">
    <w:name w:val="p16"/>
    <w:basedOn w:val="1"/>
    <w:autoRedefine/>
    <w:qFormat/>
    <w:uiPriority w:val="0"/>
    <w:pPr>
      <w:widowControl/>
      <w:adjustRightInd/>
      <w:spacing w:line="360" w:lineRule="auto"/>
      <w:jc w:val="both"/>
      <w:textAlignment w:val="auto"/>
    </w:pPr>
    <w:rPr>
      <w:rFonts w:hAnsi="宋体" w:cs="宋体"/>
      <w:spacing w:val="2"/>
      <w:szCs w:val="24"/>
    </w:rPr>
  </w:style>
  <w:style w:type="paragraph" w:customStyle="1" w:styleId="75">
    <w:name w:val="列出段落1"/>
    <w:basedOn w:val="1"/>
    <w:autoRedefine/>
    <w:qFormat/>
    <w:uiPriority w:val="99"/>
    <w:pPr>
      <w:adjustRightInd/>
      <w:spacing w:line="240" w:lineRule="auto"/>
      <w:ind w:firstLine="420" w:firstLineChars="200"/>
      <w:jc w:val="both"/>
      <w:textAlignment w:val="auto"/>
    </w:pPr>
    <w:rPr>
      <w:rFonts w:ascii="Calibri" w:hAnsi="Calibri"/>
      <w:kern w:val="2"/>
      <w:sz w:val="21"/>
      <w:szCs w:val="22"/>
    </w:rPr>
  </w:style>
  <w:style w:type="paragraph" w:customStyle="1" w:styleId="76">
    <w:name w:val="reader-word-layer"/>
    <w:basedOn w:val="1"/>
    <w:autoRedefine/>
    <w:qFormat/>
    <w:uiPriority w:val="0"/>
    <w:pPr>
      <w:widowControl/>
      <w:adjustRightInd/>
      <w:spacing w:before="100" w:beforeAutospacing="1" w:after="100" w:afterAutospacing="1" w:line="240" w:lineRule="auto"/>
      <w:textAlignment w:val="auto"/>
    </w:pPr>
    <w:rPr>
      <w:rFonts w:hAnsi="宋体" w:cs="宋体"/>
      <w:szCs w:val="24"/>
    </w:rPr>
  </w:style>
  <w:style w:type="paragraph" w:customStyle="1" w:styleId="77">
    <w:name w:val="reader-pic-item"/>
    <w:basedOn w:val="1"/>
    <w:autoRedefine/>
    <w:qFormat/>
    <w:uiPriority w:val="0"/>
    <w:pPr>
      <w:widowControl/>
      <w:adjustRightInd/>
      <w:spacing w:before="100" w:beforeAutospacing="1" w:after="100" w:afterAutospacing="1" w:line="240" w:lineRule="auto"/>
      <w:textAlignment w:val="auto"/>
    </w:pPr>
    <w:rPr>
      <w:rFonts w:hAnsi="宋体" w:cs="宋体"/>
      <w:szCs w:val="24"/>
    </w:rPr>
  </w:style>
  <w:style w:type="paragraph" w:customStyle="1" w:styleId="78">
    <w:name w:val="图片"/>
    <w:basedOn w:val="1"/>
    <w:link w:val="79"/>
    <w:autoRedefine/>
    <w:qFormat/>
    <w:uiPriority w:val="0"/>
    <w:pPr>
      <w:adjustRightInd/>
      <w:spacing w:line="360" w:lineRule="auto"/>
      <w:ind w:left="315" w:leftChars="150"/>
      <w:jc w:val="center"/>
      <w:textAlignment w:val="auto"/>
    </w:pPr>
    <w:rPr>
      <w:rFonts w:cs="宋体"/>
      <w:kern w:val="2"/>
    </w:rPr>
  </w:style>
  <w:style w:type="character" w:customStyle="1" w:styleId="79">
    <w:name w:val="图片 Char"/>
    <w:basedOn w:val="42"/>
    <w:link w:val="78"/>
    <w:autoRedefine/>
    <w:qFormat/>
    <w:uiPriority w:val="0"/>
    <w:rPr>
      <w:rFonts w:ascii="宋体" w:cs="宋体"/>
      <w:kern w:val="2"/>
      <w:sz w:val="24"/>
    </w:rPr>
  </w:style>
  <w:style w:type="paragraph" w:customStyle="1" w:styleId="80">
    <w:name w:val="样式"/>
    <w:autoRedefine/>
    <w:qFormat/>
    <w:uiPriority w:val="0"/>
    <w:pPr>
      <w:widowControl w:val="0"/>
      <w:autoSpaceDE w:val="0"/>
      <w:autoSpaceDN w:val="0"/>
      <w:adjustRightInd w:val="0"/>
    </w:pPr>
    <w:rPr>
      <w:rFonts w:ascii="宋体" w:eastAsia="宋体" w:cs="宋体" w:hAnsiTheme="minorHAnsi"/>
      <w:sz w:val="24"/>
      <w:szCs w:val="24"/>
      <w:lang w:val="en-US" w:eastAsia="zh-CN" w:bidi="ar-SA"/>
    </w:rPr>
  </w:style>
  <w:style w:type="paragraph" w:customStyle="1" w:styleId="81">
    <w:name w:val="修订1"/>
    <w:autoRedefine/>
    <w:hidden/>
    <w:semiHidden/>
    <w:qFormat/>
    <w:uiPriority w:val="99"/>
    <w:rPr>
      <w:rFonts w:ascii="宋体" w:hAnsi="Times New Roman" w:eastAsia="宋体" w:cs="Times New Roman"/>
      <w:sz w:val="24"/>
      <w:lang w:val="en-US" w:eastAsia="zh-CN" w:bidi="ar-SA"/>
    </w:rPr>
  </w:style>
  <w:style w:type="paragraph" w:customStyle="1" w:styleId="82">
    <w:name w:val="Char"/>
    <w:basedOn w:val="1"/>
    <w:autoRedefine/>
    <w:qFormat/>
    <w:uiPriority w:val="0"/>
    <w:pPr>
      <w:widowControl/>
      <w:adjustRightInd/>
      <w:spacing w:after="160" w:line="240" w:lineRule="exact"/>
      <w:textAlignment w:val="auto"/>
    </w:pPr>
    <w:rPr>
      <w:rFonts w:ascii="Verdana" w:hAnsi="Verdana" w:eastAsia="仿宋_GB2312"/>
      <w:lang w:eastAsia="en-US"/>
    </w:rPr>
  </w:style>
  <w:style w:type="paragraph" w:customStyle="1" w:styleId="83">
    <w:name w:val="标题2"/>
    <w:basedOn w:val="3"/>
    <w:next w:val="3"/>
    <w:link w:val="84"/>
    <w:autoRedefine/>
    <w:qFormat/>
    <w:uiPriority w:val="0"/>
    <w:pPr>
      <w:numPr>
        <w:numId w:val="3"/>
      </w:numPr>
      <w:tabs>
        <w:tab w:val="left" w:pos="709"/>
      </w:tabs>
      <w:spacing w:beforeLines="50" w:afterLines="50" w:line="480" w:lineRule="exact"/>
      <w:jc w:val="left"/>
    </w:pPr>
    <w:rPr>
      <w:rFonts w:hAnsi="宋体" w:eastAsia="宋体"/>
      <w:snapToGrid w:val="0"/>
      <w:sz w:val="24"/>
      <w:szCs w:val="24"/>
    </w:rPr>
  </w:style>
  <w:style w:type="character" w:customStyle="1" w:styleId="84">
    <w:name w:val="标题2 Char"/>
    <w:link w:val="83"/>
    <w:autoRedefine/>
    <w:qFormat/>
    <w:uiPriority w:val="0"/>
    <w:rPr>
      <w:rFonts w:ascii="Arial" w:hAnsi="宋体"/>
      <w:b/>
      <w:bCs/>
      <w:snapToGrid w:val="0"/>
      <w:kern w:val="2"/>
      <w:sz w:val="24"/>
      <w:szCs w:val="24"/>
    </w:rPr>
  </w:style>
  <w:style w:type="character" w:customStyle="1" w:styleId="85">
    <w:name w:val="正文文本缩进 字符"/>
    <w:basedOn w:val="42"/>
    <w:link w:val="18"/>
    <w:autoRedefine/>
    <w:qFormat/>
    <w:uiPriority w:val="0"/>
    <w:rPr>
      <w:rFonts w:ascii="宋体"/>
      <w:sz w:val="24"/>
    </w:rPr>
  </w:style>
  <w:style w:type="character" w:customStyle="1" w:styleId="86">
    <w:name w:val="正文文本 Char"/>
    <w:basedOn w:val="42"/>
    <w:autoRedefine/>
    <w:qFormat/>
    <w:uiPriority w:val="0"/>
    <w:rPr>
      <w:rFonts w:ascii="幼圆" w:hAnsi="Times New Roman" w:eastAsia="幼圆" w:cs="Times New Roman"/>
      <w:kern w:val="0"/>
      <w:sz w:val="24"/>
      <w:szCs w:val="20"/>
    </w:rPr>
  </w:style>
  <w:style w:type="character" w:customStyle="1" w:styleId="87">
    <w:name w:val="批注框文本 字符"/>
    <w:basedOn w:val="42"/>
    <w:link w:val="26"/>
    <w:autoRedefine/>
    <w:qFormat/>
    <w:uiPriority w:val="0"/>
    <w:rPr>
      <w:rFonts w:ascii="宋体"/>
      <w:sz w:val="18"/>
      <w:szCs w:val="18"/>
    </w:rPr>
  </w:style>
  <w:style w:type="character" w:customStyle="1" w:styleId="88">
    <w:name w:val="正文文本 2 字符"/>
    <w:basedOn w:val="42"/>
    <w:link w:val="35"/>
    <w:autoRedefine/>
    <w:qFormat/>
    <w:uiPriority w:val="0"/>
    <w:rPr>
      <w:rFonts w:ascii="宋体" w:hAnsi="宋体"/>
      <w:color w:val="000000"/>
      <w:kern w:val="2"/>
      <w:sz w:val="28"/>
    </w:rPr>
  </w:style>
  <w:style w:type="character" w:customStyle="1" w:styleId="89">
    <w:name w:val="正文文本 3 字符"/>
    <w:basedOn w:val="42"/>
    <w:link w:val="16"/>
    <w:autoRedefine/>
    <w:qFormat/>
    <w:uiPriority w:val="0"/>
    <w:rPr>
      <w:rFonts w:ascii="宋体" w:hAnsi="宋体"/>
      <w:b/>
      <w:sz w:val="24"/>
    </w:rPr>
  </w:style>
  <w:style w:type="character" w:customStyle="1" w:styleId="90">
    <w:name w:val="正文文本缩进 2 字符"/>
    <w:basedOn w:val="42"/>
    <w:link w:val="25"/>
    <w:autoRedefine/>
    <w:qFormat/>
    <w:uiPriority w:val="0"/>
    <w:rPr>
      <w:rFonts w:ascii="宋体" w:hAnsi="宋体"/>
      <w:kern w:val="2"/>
      <w:sz w:val="28"/>
      <w:szCs w:val="24"/>
    </w:rPr>
  </w:style>
  <w:style w:type="character" w:customStyle="1" w:styleId="91">
    <w:name w:val="正文文本缩进 3 字符"/>
    <w:basedOn w:val="42"/>
    <w:link w:val="32"/>
    <w:autoRedefine/>
    <w:qFormat/>
    <w:uiPriority w:val="0"/>
    <w:rPr>
      <w:rFonts w:ascii="宋体" w:hAnsi="宋体"/>
      <w:sz w:val="28"/>
    </w:rPr>
  </w:style>
  <w:style w:type="character" w:customStyle="1" w:styleId="92">
    <w:name w:val="标题 字符"/>
    <w:basedOn w:val="42"/>
    <w:link w:val="37"/>
    <w:autoRedefine/>
    <w:qFormat/>
    <w:uiPriority w:val="0"/>
    <w:rPr>
      <w:rFonts w:ascii="Arial" w:hAnsi="Arial"/>
      <w:b/>
      <w:kern w:val="2"/>
      <w:sz w:val="44"/>
    </w:rPr>
  </w:style>
  <w:style w:type="character" w:customStyle="1" w:styleId="93">
    <w:name w:val="正文文本 字符"/>
    <w:basedOn w:val="42"/>
    <w:link w:val="17"/>
    <w:autoRedefine/>
    <w:qFormat/>
    <w:uiPriority w:val="0"/>
    <w:rPr>
      <w:rFonts w:ascii="幼圆" w:eastAsia="幼圆"/>
      <w:sz w:val="24"/>
    </w:rPr>
  </w:style>
  <w:style w:type="character" w:customStyle="1" w:styleId="94">
    <w:name w:val="正文文本首行缩进 字符"/>
    <w:basedOn w:val="93"/>
    <w:link w:val="39"/>
    <w:autoRedefine/>
    <w:qFormat/>
    <w:uiPriority w:val="0"/>
    <w:rPr>
      <w:rFonts w:ascii="幼圆" w:eastAsia="幼圆"/>
      <w:kern w:val="2"/>
      <w:sz w:val="21"/>
    </w:rPr>
  </w:style>
  <w:style w:type="paragraph" w:customStyle="1" w:styleId="95">
    <w:name w:val="7"/>
    <w:basedOn w:val="1"/>
    <w:next w:val="22"/>
    <w:autoRedefine/>
    <w:qFormat/>
    <w:uiPriority w:val="0"/>
    <w:pPr>
      <w:adjustRightInd/>
      <w:spacing w:line="240" w:lineRule="auto"/>
      <w:jc w:val="both"/>
      <w:textAlignment w:val="auto"/>
    </w:pPr>
    <w:rPr>
      <w:rFonts w:ascii="Times New Roman" w:hAnsi="Courier New"/>
      <w:kern w:val="2"/>
      <w:sz w:val="21"/>
    </w:rPr>
  </w:style>
  <w:style w:type="paragraph" w:customStyle="1" w:styleId="96">
    <w:name w:val="样式 样式 标题 3 + 段前: 0.5 行 段后: 0.5 行 + 宋体 四号 段前: 0.5 行 段后: 0.5 行"/>
    <w:basedOn w:val="1"/>
    <w:autoRedefine/>
    <w:qFormat/>
    <w:uiPriority w:val="0"/>
    <w:pPr>
      <w:keepNext/>
      <w:keepLines/>
      <w:numPr>
        <w:ilvl w:val="1"/>
        <w:numId w:val="4"/>
      </w:numPr>
      <w:tabs>
        <w:tab w:val="clear" w:pos="1077"/>
      </w:tabs>
      <w:adjustRightInd/>
      <w:spacing w:beforeLines="50" w:afterLines="50" w:line="360" w:lineRule="auto"/>
      <w:ind w:left="0" w:firstLine="0"/>
      <w:textAlignment w:val="auto"/>
      <w:outlineLvl w:val="2"/>
    </w:pPr>
    <w:rPr>
      <w:rFonts w:ascii="Times New Roman" w:hAnsi="宋体" w:cs="宋体"/>
      <w:b/>
      <w:bCs/>
      <w:kern w:val="2"/>
      <w:sz w:val="20"/>
      <w:szCs w:val="24"/>
    </w:rPr>
  </w:style>
  <w:style w:type="character" w:customStyle="1" w:styleId="97">
    <w:name w:val="纯文本 Char1"/>
    <w:autoRedefine/>
    <w:qFormat/>
    <w:locked/>
    <w:uiPriority w:val="99"/>
    <w:rPr>
      <w:rFonts w:ascii="宋体" w:hAnsi="Courier New" w:eastAsia="宋体" w:cs="宋体"/>
      <w:sz w:val="20"/>
      <w:szCs w:val="20"/>
    </w:rPr>
  </w:style>
  <w:style w:type="paragraph" w:customStyle="1" w:styleId="98">
    <w:name w:val="样式 标题 4 + 四号"/>
    <w:basedOn w:val="5"/>
    <w:autoRedefine/>
    <w:qFormat/>
    <w:uiPriority w:val="0"/>
    <w:pPr>
      <w:widowControl/>
      <w:numPr>
        <w:ilvl w:val="0"/>
        <w:numId w:val="0"/>
      </w:numPr>
      <w:adjustRightInd w:val="0"/>
      <w:snapToGrid w:val="0"/>
      <w:spacing w:beforeLines="50" w:after="0" w:line="300" w:lineRule="auto"/>
      <w:ind w:left="1077" w:hanging="1077"/>
    </w:pPr>
    <w:rPr>
      <w:rFonts w:ascii="黑体" w:hAnsi="Cambria"/>
      <w:kern w:val="0"/>
      <w:szCs w:val="22"/>
      <w:lang w:bidi="en-US"/>
    </w:rPr>
  </w:style>
  <w:style w:type="paragraph" w:customStyle="1" w:styleId="99">
    <w:name w:val="样式 五号 两端对齐 首行缩进:  0 厘米"/>
    <w:basedOn w:val="1"/>
    <w:autoRedefine/>
    <w:qFormat/>
    <w:uiPriority w:val="0"/>
    <w:pPr>
      <w:adjustRightInd/>
      <w:spacing w:line="240" w:lineRule="auto"/>
      <w:jc w:val="both"/>
      <w:textAlignment w:val="auto"/>
    </w:pPr>
    <w:rPr>
      <w:rFonts w:ascii="Times New Roman" w:cs="宋体"/>
      <w:kern w:val="2"/>
      <w:sz w:val="21"/>
    </w:rPr>
  </w:style>
  <w:style w:type="paragraph" w:customStyle="1" w:styleId="100">
    <w:name w:val="标题1"/>
    <w:basedOn w:val="2"/>
    <w:next w:val="2"/>
    <w:link w:val="102"/>
    <w:autoRedefine/>
    <w:qFormat/>
    <w:uiPriority w:val="0"/>
    <w:pPr>
      <w:tabs>
        <w:tab w:val="left" w:pos="284"/>
      </w:tabs>
      <w:spacing w:beforeLines="50" w:afterLines="50" w:line="240" w:lineRule="auto"/>
      <w:ind w:left="420"/>
      <w:jc w:val="left"/>
      <w:outlineLvl w:val="2"/>
    </w:pPr>
    <w:rPr>
      <w:rFonts w:ascii="宋体" w:hAnsi="宋体"/>
      <w:b w:val="0"/>
      <w:spacing w:val="20"/>
      <w:sz w:val="32"/>
      <w:szCs w:val="24"/>
    </w:rPr>
  </w:style>
  <w:style w:type="character" w:customStyle="1" w:styleId="101">
    <w:name w:val="TOC 1 字符"/>
    <w:link w:val="29"/>
    <w:autoRedefine/>
    <w:qFormat/>
    <w:uiPriority w:val="39"/>
    <w:rPr>
      <w:rFonts w:ascii="宋体"/>
      <w:b/>
      <w:sz w:val="24"/>
    </w:rPr>
  </w:style>
  <w:style w:type="character" w:customStyle="1" w:styleId="102">
    <w:name w:val="标题1 Char"/>
    <w:link w:val="100"/>
    <w:autoRedefine/>
    <w:qFormat/>
    <w:uiPriority w:val="0"/>
    <w:rPr>
      <w:rFonts w:ascii="宋体" w:hAnsi="宋体" w:eastAsia="黑体"/>
      <w:spacing w:val="20"/>
      <w:sz w:val="32"/>
      <w:szCs w:val="24"/>
    </w:rPr>
  </w:style>
  <w:style w:type="paragraph" w:customStyle="1" w:styleId="103">
    <w:name w:val="标题3"/>
    <w:basedOn w:val="4"/>
    <w:next w:val="4"/>
    <w:link w:val="105"/>
    <w:autoRedefine/>
    <w:qFormat/>
    <w:uiPriority w:val="0"/>
    <w:pPr>
      <w:numPr>
        <w:ilvl w:val="0"/>
        <w:numId w:val="0"/>
      </w:numPr>
      <w:tabs>
        <w:tab w:val="left" w:pos="709"/>
      </w:tabs>
      <w:spacing w:beforeLines="50" w:afterLines="50" w:line="480" w:lineRule="exact"/>
      <w:ind w:left="1077" w:hanging="1077"/>
      <w:jc w:val="left"/>
      <w:outlineLvl w:val="1"/>
    </w:pPr>
    <w:rPr>
      <w:rFonts w:hAnsi="宋体"/>
      <w:b w:val="0"/>
      <w:snapToGrid w:val="0"/>
      <w:sz w:val="24"/>
      <w:szCs w:val="24"/>
    </w:rPr>
  </w:style>
  <w:style w:type="paragraph" w:customStyle="1" w:styleId="104">
    <w:name w:val="目录1"/>
    <w:basedOn w:val="29"/>
    <w:next w:val="2"/>
    <w:link w:val="106"/>
    <w:autoRedefine/>
    <w:qFormat/>
    <w:uiPriority w:val="0"/>
    <w:pPr>
      <w:tabs>
        <w:tab w:val="left" w:pos="284"/>
        <w:tab w:val="clear" w:pos="9072"/>
      </w:tabs>
      <w:spacing w:beforeLines="50" w:afterLines="50" w:line="480" w:lineRule="exact"/>
      <w:ind w:left="420"/>
      <w:jc w:val="left"/>
      <w:outlineLvl w:val="2"/>
    </w:pPr>
    <w:rPr>
      <w:rFonts w:hAnsi="宋体" w:eastAsia="黑体"/>
      <w:b w:val="0"/>
      <w:spacing w:val="20"/>
      <w:szCs w:val="24"/>
    </w:rPr>
  </w:style>
  <w:style w:type="character" w:customStyle="1" w:styleId="105">
    <w:name w:val="标题3 Char"/>
    <w:link w:val="103"/>
    <w:autoRedefine/>
    <w:qFormat/>
    <w:uiPriority w:val="0"/>
    <w:rPr>
      <w:rFonts w:hAnsi="宋体"/>
      <w:bCs/>
      <w:snapToGrid w:val="0"/>
      <w:kern w:val="2"/>
      <w:sz w:val="24"/>
      <w:szCs w:val="24"/>
    </w:rPr>
  </w:style>
  <w:style w:type="character" w:customStyle="1" w:styleId="106">
    <w:name w:val="目录1 Char"/>
    <w:link w:val="104"/>
    <w:qFormat/>
    <w:uiPriority w:val="0"/>
    <w:rPr>
      <w:rFonts w:ascii="宋体" w:hAnsi="宋体" w:eastAsia="黑体"/>
      <w:spacing w:val="20"/>
      <w:sz w:val="24"/>
      <w:szCs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8">
    <w:name w:val="未处理的提及1"/>
    <w:basedOn w:val="42"/>
    <w:semiHidden/>
    <w:unhideWhenUsed/>
    <w:qFormat/>
    <w:uiPriority w:val="99"/>
    <w:rPr>
      <w:color w:val="605E5C"/>
      <w:shd w:val="clear" w:color="auto" w:fill="E1DFDD"/>
    </w:rPr>
  </w:style>
  <w:style w:type="paragraph" w:customStyle="1" w:styleId="109">
    <w:name w:val="修订2"/>
    <w:hidden/>
    <w:semiHidden/>
    <w:qFormat/>
    <w:uiPriority w:val="99"/>
    <w:rPr>
      <w:rFonts w:ascii="宋体" w:hAnsi="Times New Roman" w:eastAsia="宋体" w:cs="Times New Roman"/>
      <w:sz w:val="24"/>
      <w:lang w:val="en-US" w:eastAsia="zh-CN" w:bidi="ar-SA"/>
    </w:rPr>
  </w:style>
  <w:style w:type="table" w:customStyle="1" w:styleId="110">
    <w:name w:val="网格型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83C44-29FD-4B1A-897F-B1EC8F6FEA65}">
  <ds:schemaRefs/>
</ds:datastoreItem>
</file>

<file path=docProps/app.xml><?xml version="1.0" encoding="utf-8"?>
<Properties xmlns="http://schemas.openxmlformats.org/officeDocument/2006/extended-properties" xmlns:vt="http://schemas.openxmlformats.org/officeDocument/2006/docPropsVTypes">
  <Template>Normal.dotm</Template>
  <Company>cscec</Company>
  <Pages>14</Pages>
  <Words>8863</Words>
  <Characters>9107</Characters>
  <Lines>101</Lines>
  <Paragraphs>28</Paragraphs>
  <TotalTime>68</TotalTime>
  <ScaleCrop>false</ScaleCrop>
  <LinksUpToDate>false</LinksUpToDate>
  <CharactersWithSpaces>9318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2022-06-16T01:31:00Z</dcterms:created>
  <dc:creator>txh</dc:creator>
  <cp:lastModifiedBy>Love~curry~forever</cp:lastModifiedBy>
  <cp:lastPrinted>2019-04-08T01:20:00Z</cp:lastPrinted>
  <dcterms:modified xsi:type="dcterms:W3CDTF">2026-07-13T09:13:29Z</dcterms:modified>
  <dc:title>投 标 人 须 知</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9B20D495581049E0A07C7CC76B54FBEF_13</vt:lpwstr>
  </property>
  <property fmtid="{D5CDD505-2E9C-101B-9397-08002B2CF9AE}" pid="4" name="KSOTemplateDocerSaveRecord">
    <vt:lpwstr>eyJoZGlkIjoiZDZlOTY0Mjc0NTkyMTNhNTcyZmZjYmZjMjAxZWE4ODgiLCJ1c2VySWQiOiIxMDQzMTIzOTQ3In0=</vt:lpwstr>
  </property>
</Properties>
</file>